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7536" w14:textId="1C8BE5B8" w:rsidR="00846713" w:rsidRPr="007F6F58" w:rsidRDefault="005E3017" w:rsidP="00487AC7">
      <w:pPr>
        <w:tabs>
          <w:tab w:val="center" w:pos="4680"/>
        </w:tabs>
        <w:spacing w:line="270" w:lineRule="exact"/>
        <w:jc w:val="center"/>
        <w:rPr>
          <w:rFonts w:ascii="Cambria" w:hAnsi="Cambria"/>
          <w:spacing w:val="-5"/>
        </w:rPr>
      </w:pPr>
      <w:r>
        <w:rPr>
          <w:noProof/>
          <w:spacing w:val="-5"/>
          <w:lang w:val="en-US"/>
        </w:rPr>
        <w:drawing>
          <wp:anchor distT="0" distB="0" distL="114300" distR="114300" simplePos="0" relativeHeight="251657728" behindDoc="0" locked="0" layoutInCell="1" allowOverlap="1" wp14:anchorId="2A8088EA" wp14:editId="639314A5">
            <wp:simplePos x="0" y="0"/>
            <wp:positionH relativeFrom="column">
              <wp:posOffset>1175385</wp:posOffset>
            </wp:positionH>
            <wp:positionV relativeFrom="paragraph">
              <wp:posOffset>-134620</wp:posOffset>
            </wp:positionV>
            <wp:extent cx="2861310" cy="610870"/>
            <wp:effectExtent l="0" t="0" r="0" b="0"/>
            <wp:wrapNone/>
            <wp:docPr id="8" name="Picture 1" descr="SCHS-bl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S-bl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610870"/>
                    </a:xfrm>
                    <a:prstGeom prst="rect">
                      <a:avLst/>
                    </a:prstGeom>
                    <a:noFill/>
                  </pic:spPr>
                </pic:pic>
              </a:graphicData>
            </a:graphic>
            <wp14:sizeRelH relativeFrom="page">
              <wp14:pctWidth>0</wp14:pctWidth>
            </wp14:sizeRelH>
            <wp14:sizeRelV relativeFrom="page">
              <wp14:pctHeight>0</wp14:pctHeight>
            </wp14:sizeRelV>
          </wp:anchor>
        </w:drawing>
      </w:r>
    </w:p>
    <w:p w14:paraId="7A4F4592" w14:textId="77777777" w:rsidR="00846713" w:rsidRPr="007F6F58" w:rsidRDefault="00846713" w:rsidP="00487AC7">
      <w:pPr>
        <w:tabs>
          <w:tab w:val="center" w:pos="4680"/>
        </w:tabs>
        <w:spacing w:line="270" w:lineRule="exact"/>
        <w:jc w:val="center"/>
        <w:rPr>
          <w:rFonts w:ascii="Cambria" w:hAnsi="Cambria"/>
          <w:spacing w:val="-5"/>
        </w:rPr>
      </w:pPr>
    </w:p>
    <w:p w14:paraId="4E2CF1A4" w14:textId="77777777" w:rsidR="00846713" w:rsidRPr="007F6F58" w:rsidRDefault="00846713" w:rsidP="00487AC7">
      <w:pPr>
        <w:tabs>
          <w:tab w:val="center" w:pos="4680"/>
        </w:tabs>
        <w:spacing w:line="270" w:lineRule="exact"/>
        <w:jc w:val="center"/>
        <w:rPr>
          <w:rFonts w:ascii="Cambria" w:hAnsi="Cambria"/>
          <w:spacing w:val="-5"/>
        </w:rPr>
      </w:pPr>
    </w:p>
    <w:p w14:paraId="2D3F074E" w14:textId="77777777" w:rsidR="00846713" w:rsidRPr="007F6F58" w:rsidRDefault="00846713" w:rsidP="00487AC7">
      <w:pPr>
        <w:tabs>
          <w:tab w:val="center" w:pos="4680"/>
        </w:tabs>
        <w:spacing w:line="270" w:lineRule="exact"/>
        <w:jc w:val="center"/>
        <w:rPr>
          <w:rFonts w:ascii="Cambria" w:hAnsi="Cambria"/>
          <w:spacing w:val="-5"/>
        </w:rPr>
      </w:pPr>
    </w:p>
    <w:p w14:paraId="6608164C" w14:textId="77777777" w:rsidR="00846713" w:rsidRPr="007F6F58" w:rsidRDefault="00846713" w:rsidP="00487AC7">
      <w:pPr>
        <w:tabs>
          <w:tab w:val="center" w:pos="4680"/>
        </w:tabs>
        <w:spacing w:line="270" w:lineRule="exact"/>
        <w:jc w:val="center"/>
        <w:rPr>
          <w:rFonts w:ascii="Cambria" w:hAnsi="Cambria"/>
          <w:spacing w:val="-5"/>
        </w:rPr>
      </w:pPr>
    </w:p>
    <w:p w14:paraId="5F4C4F14" w14:textId="77777777" w:rsidR="00043C74" w:rsidRPr="007F6F58" w:rsidRDefault="00B8696D" w:rsidP="00487AC7">
      <w:pPr>
        <w:tabs>
          <w:tab w:val="center" w:pos="4680"/>
        </w:tabs>
        <w:spacing w:line="270" w:lineRule="exact"/>
        <w:jc w:val="center"/>
        <w:rPr>
          <w:spacing w:val="-5"/>
        </w:rPr>
      </w:pPr>
      <w:r w:rsidRPr="007F6F58">
        <w:rPr>
          <w:spacing w:val="-5"/>
        </w:rPr>
        <w:t>MANUAL DE POLÍTICA ADMINISTRATIVA</w:t>
      </w:r>
    </w:p>
    <w:p w14:paraId="0D829A92" w14:textId="77777777" w:rsidR="00846713" w:rsidRPr="007F6F58" w:rsidRDefault="00846713" w:rsidP="00487AC7">
      <w:pPr>
        <w:tabs>
          <w:tab w:val="center" w:pos="4680"/>
        </w:tabs>
        <w:spacing w:line="270" w:lineRule="exact"/>
        <w:jc w:val="center"/>
        <w:rPr>
          <w:b/>
          <w:spacing w:val="-5"/>
          <w:u w:val="single"/>
        </w:r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043C74" w:rsidRPr="007F6F58" w14:paraId="51F88743" w14:textId="77777777" w:rsidTr="00846C7C">
        <w:trPr>
          <w:trHeight w:val="275"/>
        </w:trPr>
        <w:tc>
          <w:tcPr>
            <w:tcW w:w="4675" w:type="dxa"/>
          </w:tcPr>
          <w:p w14:paraId="66708085" w14:textId="77777777" w:rsidR="00043C74" w:rsidRPr="007F6F58" w:rsidRDefault="00043C74" w:rsidP="00487AC7">
            <w:pPr>
              <w:widowControl w:val="0"/>
              <w:autoSpaceDE w:val="0"/>
              <w:autoSpaceDN w:val="0"/>
              <w:spacing w:line="270" w:lineRule="exact"/>
              <w:ind w:left="107"/>
              <w:rPr>
                <w:b/>
                <w:spacing w:val="-5"/>
              </w:rPr>
            </w:pPr>
            <w:r w:rsidRPr="007F6F58">
              <w:rPr>
                <w:b/>
                <w:spacing w:val="-5"/>
              </w:rPr>
              <w:t>TITULO: Crédito y cobro</w:t>
            </w:r>
          </w:p>
        </w:tc>
        <w:tc>
          <w:tcPr>
            <w:tcW w:w="4675" w:type="dxa"/>
          </w:tcPr>
          <w:p w14:paraId="04FF51FA" w14:textId="41004EDF" w:rsidR="00043C74" w:rsidRPr="007F6F58" w:rsidRDefault="00043C74" w:rsidP="00487AC7">
            <w:pPr>
              <w:widowControl w:val="0"/>
              <w:autoSpaceDE w:val="0"/>
              <w:autoSpaceDN w:val="0"/>
              <w:spacing w:line="270" w:lineRule="exact"/>
              <w:ind w:left="105"/>
              <w:rPr>
                <w:spacing w:val="-5"/>
              </w:rPr>
            </w:pPr>
            <w:r w:rsidRPr="007F6F58">
              <w:rPr>
                <w:b/>
                <w:spacing w:val="-5"/>
              </w:rPr>
              <w:t>NÚMERO DE POLÍTICA:  SHS-ADM-073</w:t>
            </w:r>
          </w:p>
        </w:tc>
      </w:tr>
      <w:tr w:rsidR="00043C74" w:rsidRPr="007F6F58" w14:paraId="281484B2" w14:textId="77777777" w:rsidTr="00846C7C">
        <w:trPr>
          <w:trHeight w:val="275"/>
        </w:trPr>
        <w:tc>
          <w:tcPr>
            <w:tcW w:w="4675" w:type="dxa"/>
          </w:tcPr>
          <w:p w14:paraId="4669EBF5" w14:textId="0035A2D2" w:rsidR="00043C74" w:rsidRPr="007F6F58" w:rsidRDefault="00043C74" w:rsidP="00487AC7">
            <w:pPr>
              <w:widowControl w:val="0"/>
              <w:autoSpaceDE w:val="0"/>
              <w:autoSpaceDN w:val="0"/>
              <w:spacing w:line="270" w:lineRule="exact"/>
              <w:ind w:left="107"/>
              <w:rPr>
                <w:spacing w:val="-5"/>
              </w:rPr>
            </w:pPr>
            <w:r w:rsidRPr="007F6F58">
              <w:rPr>
                <w:b/>
                <w:spacing w:val="-5"/>
              </w:rPr>
              <w:t xml:space="preserve">FECHA DE LA POLÍTICA: </w:t>
            </w:r>
            <w:r w:rsidR="00BE0935" w:rsidRPr="00BE0935">
              <w:rPr>
                <w:bCs/>
                <w:color w:val="943634" w:themeColor="accent2" w:themeShade="BF"/>
                <w:spacing w:val="-5"/>
              </w:rPr>
              <w:t>13 de julio de 2020</w:t>
            </w:r>
          </w:p>
        </w:tc>
        <w:tc>
          <w:tcPr>
            <w:tcW w:w="4675" w:type="dxa"/>
          </w:tcPr>
          <w:p w14:paraId="688DEEF1" w14:textId="3ABD4E37" w:rsidR="00043C74" w:rsidRPr="007F6F58" w:rsidRDefault="00043C74" w:rsidP="00487AC7">
            <w:pPr>
              <w:widowControl w:val="0"/>
              <w:autoSpaceDE w:val="0"/>
              <w:autoSpaceDN w:val="0"/>
              <w:spacing w:line="270" w:lineRule="exact"/>
              <w:ind w:left="105"/>
              <w:rPr>
                <w:spacing w:val="-5"/>
              </w:rPr>
            </w:pPr>
            <w:r w:rsidRPr="007F6F58">
              <w:rPr>
                <w:b/>
                <w:spacing w:val="-5"/>
              </w:rPr>
              <w:t xml:space="preserve">FECHA DE ENTRADA EN VIGOR: </w:t>
            </w:r>
            <w:r w:rsidR="00BE0935" w:rsidRPr="00BE0935">
              <w:rPr>
                <w:bCs/>
                <w:color w:val="943634" w:themeColor="accent2" w:themeShade="BF"/>
                <w:spacing w:val="-5"/>
              </w:rPr>
              <w:t>15 de septiembre de 2020</w:t>
            </w:r>
          </w:p>
        </w:tc>
      </w:tr>
      <w:tr w:rsidR="00043C74" w:rsidRPr="007F6F58" w14:paraId="2AD0D26F" w14:textId="77777777" w:rsidTr="00846C7C">
        <w:trPr>
          <w:trHeight w:val="551"/>
        </w:trPr>
        <w:tc>
          <w:tcPr>
            <w:tcW w:w="4675" w:type="dxa"/>
          </w:tcPr>
          <w:p w14:paraId="36335EC8" w14:textId="566441A6" w:rsidR="00BE0935" w:rsidRPr="007F6F58" w:rsidRDefault="00043C74" w:rsidP="00BE0935">
            <w:pPr>
              <w:widowControl w:val="0"/>
              <w:autoSpaceDE w:val="0"/>
              <w:autoSpaceDN w:val="0"/>
              <w:spacing w:line="270" w:lineRule="exact"/>
              <w:ind w:left="107"/>
              <w:rPr>
                <w:spacing w:val="-5"/>
              </w:rPr>
            </w:pPr>
            <w:r w:rsidRPr="007F6F58">
              <w:rPr>
                <w:b/>
                <w:spacing w:val="-5"/>
              </w:rPr>
              <w:t xml:space="preserve">FECHAS DE REVISIÓN: </w:t>
            </w:r>
            <w:r w:rsidR="007F6F58">
              <w:rPr>
                <w:b/>
                <w:spacing w:val="-5"/>
              </w:rPr>
              <w:br/>
            </w:r>
            <w:r w:rsidR="00BE0935" w:rsidRPr="00BE0935">
              <w:rPr>
                <w:color w:val="943634" w:themeColor="accent2" w:themeShade="BF"/>
                <w:spacing w:val="-5"/>
              </w:rPr>
              <w:t>26</w:t>
            </w:r>
            <w:r w:rsidRPr="00BE0935">
              <w:rPr>
                <w:color w:val="943634" w:themeColor="accent2" w:themeShade="BF"/>
                <w:spacing w:val="-5"/>
              </w:rPr>
              <w:t xml:space="preserve"> de octubre de 20</w:t>
            </w:r>
            <w:r w:rsidR="00BE0935" w:rsidRPr="00BE0935">
              <w:rPr>
                <w:color w:val="943634" w:themeColor="accent2" w:themeShade="BF"/>
                <w:spacing w:val="-5"/>
              </w:rPr>
              <w:t>20</w:t>
            </w:r>
          </w:p>
          <w:p w14:paraId="6BC7E862" w14:textId="7B3788F7" w:rsidR="00043C74" w:rsidRPr="007F6F58" w:rsidRDefault="00043C74" w:rsidP="008B55B0">
            <w:pPr>
              <w:widowControl w:val="0"/>
              <w:autoSpaceDE w:val="0"/>
              <w:autoSpaceDN w:val="0"/>
              <w:spacing w:line="270" w:lineRule="exact"/>
              <w:ind w:left="107"/>
              <w:rPr>
                <w:spacing w:val="-5"/>
              </w:rPr>
            </w:pPr>
          </w:p>
        </w:tc>
        <w:tc>
          <w:tcPr>
            <w:tcW w:w="4675" w:type="dxa"/>
          </w:tcPr>
          <w:p w14:paraId="5CEA7D2B" w14:textId="07C20A3D" w:rsidR="00043C74" w:rsidRPr="007F6F58" w:rsidRDefault="00043C74" w:rsidP="008B55B0">
            <w:pPr>
              <w:widowControl w:val="0"/>
              <w:autoSpaceDE w:val="0"/>
              <w:autoSpaceDN w:val="0"/>
              <w:spacing w:line="270" w:lineRule="exact"/>
              <w:ind w:left="105"/>
              <w:rPr>
                <w:spacing w:val="-5"/>
              </w:rPr>
            </w:pPr>
            <w:r w:rsidRPr="007F6F58">
              <w:rPr>
                <w:b/>
                <w:spacing w:val="-5"/>
              </w:rPr>
              <w:t xml:space="preserve">LA REVISIÓN ES EFECTIVA: </w:t>
            </w:r>
            <w:r w:rsidR="007F6F58">
              <w:rPr>
                <w:b/>
                <w:spacing w:val="-5"/>
              </w:rPr>
              <w:br/>
            </w:r>
            <w:r w:rsidR="00BE0935" w:rsidRPr="00BE0935">
              <w:rPr>
                <w:color w:val="943634" w:themeColor="accent2" w:themeShade="BF"/>
                <w:spacing w:val="-5"/>
              </w:rPr>
              <w:t>15 de noviembre de 2020</w:t>
            </w:r>
          </w:p>
        </w:tc>
      </w:tr>
      <w:tr w:rsidR="00043C74" w:rsidRPr="007F6F58" w14:paraId="48FCCFCA" w14:textId="77777777" w:rsidTr="00846C7C">
        <w:trPr>
          <w:trHeight w:val="275"/>
        </w:trPr>
        <w:tc>
          <w:tcPr>
            <w:tcW w:w="9350" w:type="dxa"/>
            <w:gridSpan w:val="2"/>
          </w:tcPr>
          <w:p w14:paraId="2825B0CF" w14:textId="77777777" w:rsidR="00043C74" w:rsidRPr="007F6F58" w:rsidRDefault="00043C74" w:rsidP="00487AC7">
            <w:pPr>
              <w:widowControl w:val="0"/>
              <w:autoSpaceDE w:val="0"/>
              <w:autoSpaceDN w:val="0"/>
              <w:spacing w:line="270" w:lineRule="exact"/>
              <w:ind w:left="107"/>
              <w:rPr>
                <w:b/>
                <w:spacing w:val="-5"/>
              </w:rPr>
            </w:pPr>
            <w:r w:rsidRPr="007F6F58">
              <w:rPr>
                <w:b/>
                <w:spacing w:val="-5"/>
              </w:rPr>
              <w:t>FECHAS DE REVISIÓN:</w:t>
            </w:r>
          </w:p>
        </w:tc>
      </w:tr>
    </w:tbl>
    <w:p w14:paraId="25BC4303" w14:textId="77777777" w:rsidR="00846713" w:rsidRPr="007F6F58" w:rsidRDefault="00846713" w:rsidP="00487AC7">
      <w:pPr>
        <w:tabs>
          <w:tab w:val="center" w:pos="4680"/>
        </w:tabs>
        <w:spacing w:line="260" w:lineRule="exact"/>
        <w:rPr>
          <w:rFonts w:ascii="Cambria" w:hAnsi="Cambria"/>
          <w:b/>
          <w:spacing w:val="-5"/>
          <w:u w:val="single"/>
        </w:rPr>
      </w:pPr>
    </w:p>
    <w:p w14:paraId="4263A0A2" w14:textId="77777777" w:rsidR="00D71211" w:rsidRPr="007F6F58" w:rsidRDefault="001C557D" w:rsidP="00487AC7">
      <w:pPr>
        <w:tabs>
          <w:tab w:val="center" w:pos="4680"/>
        </w:tabs>
        <w:spacing w:line="260" w:lineRule="exact"/>
        <w:rPr>
          <w:b/>
          <w:spacing w:val="-5"/>
          <w:u w:val="single"/>
        </w:rPr>
      </w:pPr>
      <w:r w:rsidRPr="007F6F58">
        <w:rPr>
          <w:b/>
          <w:spacing w:val="-5"/>
          <w:u w:val="single"/>
        </w:rPr>
        <w:t>Propósito:</w:t>
      </w:r>
    </w:p>
    <w:p w14:paraId="031638D4" w14:textId="77777777" w:rsidR="001C557D" w:rsidRPr="007F6F58" w:rsidRDefault="001C557D" w:rsidP="00487AC7">
      <w:pPr>
        <w:spacing w:line="260" w:lineRule="exact"/>
        <w:jc w:val="both"/>
        <w:rPr>
          <w:spacing w:val="-5"/>
        </w:rPr>
      </w:pPr>
    </w:p>
    <w:p w14:paraId="76813AC1" w14:textId="1DC9D6DB" w:rsidR="007D6831" w:rsidRPr="007F6F58" w:rsidRDefault="00D71211" w:rsidP="00487AC7">
      <w:pPr>
        <w:spacing w:line="260" w:lineRule="exact"/>
        <w:rPr>
          <w:color w:val="000000"/>
          <w:spacing w:val="-5"/>
        </w:rPr>
      </w:pPr>
      <w:r w:rsidRPr="007F6F58">
        <w:rPr>
          <w:color w:val="000000"/>
          <w:spacing w:val="-5"/>
        </w:rPr>
        <w:t xml:space="preserve">La misión de Southcoast </w:t>
      </w:r>
      <w:proofErr w:type="spellStart"/>
      <w:r w:rsidRPr="007F6F58">
        <w:rPr>
          <w:color w:val="000000"/>
          <w:spacing w:val="-5"/>
        </w:rPr>
        <w:t>Health</w:t>
      </w:r>
      <w:proofErr w:type="spellEnd"/>
      <w:r w:rsidRPr="007F6F58">
        <w:rPr>
          <w:color w:val="000000"/>
          <w:spacing w:val="-5"/>
        </w:rPr>
        <w:t xml:space="preserve"> </w:t>
      </w:r>
      <w:proofErr w:type="spellStart"/>
      <w:r w:rsidRPr="007F6F58">
        <w:rPr>
          <w:color w:val="000000"/>
          <w:spacing w:val="-5"/>
        </w:rPr>
        <w:t>System</w:t>
      </w:r>
      <w:proofErr w:type="spellEnd"/>
      <w:r w:rsidRPr="007F6F58">
        <w:rPr>
          <w:color w:val="000000"/>
          <w:spacing w:val="-5"/>
        </w:rPr>
        <w:t xml:space="preserve"> (</w:t>
      </w:r>
      <w:r w:rsidR="00981D8F">
        <w:rPr>
          <w:color w:val="000000"/>
          <w:spacing w:val="-5"/>
        </w:rPr>
        <w:t>“</w:t>
      </w:r>
      <w:r w:rsidRPr="007F6F58">
        <w:rPr>
          <w:color w:val="000000"/>
          <w:spacing w:val="-5"/>
        </w:rPr>
        <w:t>SHS</w:t>
      </w:r>
      <w:r w:rsidR="00981D8F">
        <w:rPr>
          <w:color w:val="000000"/>
          <w:spacing w:val="-5"/>
        </w:rPr>
        <w:t>”</w:t>
      </w:r>
      <w:r w:rsidRPr="007F6F58">
        <w:rPr>
          <w:color w:val="000000"/>
          <w:spacing w:val="-5"/>
        </w:rPr>
        <w:t xml:space="preserve"> o </w:t>
      </w:r>
      <w:r w:rsidR="00981D8F">
        <w:rPr>
          <w:color w:val="000000"/>
          <w:spacing w:val="-5"/>
        </w:rPr>
        <w:t>“</w:t>
      </w:r>
      <w:r w:rsidRPr="007F6F58">
        <w:rPr>
          <w:color w:val="000000"/>
          <w:spacing w:val="-5"/>
        </w:rPr>
        <w:t xml:space="preserve">Southcoast </w:t>
      </w:r>
      <w:proofErr w:type="spellStart"/>
      <w:r w:rsidRPr="007F6F58">
        <w:rPr>
          <w:color w:val="000000"/>
          <w:spacing w:val="-5"/>
        </w:rPr>
        <w:t>Health</w:t>
      </w:r>
      <w:proofErr w:type="spellEnd"/>
      <w:r w:rsidR="00981D8F">
        <w:rPr>
          <w:color w:val="000000"/>
          <w:spacing w:val="-5"/>
        </w:rPr>
        <w:t>”</w:t>
      </w:r>
      <w:r w:rsidRPr="007F6F58">
        <w:rPr>
          <w:color w:val="000000"/>
          <w:spacing w:val="-5"/>
        </w:rPr>
        <w:t xml:space="preserve">) es cuidar y mejorar la salud, y promover el bienestar de los individuos y las comunidades a las que sirve.  SHS es un sistema integrado de atención de la salud que presta servicios de atención de la salud a través de entidades proveedoras afiliadas: Southcoast </w:t>
      </w:r>
      <w:proofErr w:type="spellStart"/>
      <w:r w:rsidRPr="007F6F58">
        <w:rPr>
          <w:color w:val="000000"/>
          <w:spacing w:val="-5"/>
        </w:rPr>
        <w:t>Hospitals</w:t>
      </w:r>
      <w:proofErr w:type="spellEnd"/>
      <w:r w:rsidRPr="007F6F58">
        <w:rPr>
          <w:color w:val="000000"/>
          <w:spacing w:val="-5"/>
        </w:rPr>
        <w:t xml:space="preserve"> </w:t>
      </w:r>
      <w:proofErr w:type="spellStart"/>
      <w:r w:rsidRPr="007F6F58">
        <w:rPr>
          <w:color w:val="000000"/>
          <w:spacing w:val="-5"/>
        </w:rPr>
        <w:t>Group</w:t>
      </w:r>
      <w:proofErr w:type="spellEnd"/>
      <w:r w:rsidRPr="007F6F58">
        <w:rPr>
          <w:color w:val="000000"/>
          <w:spacing w:val="-5"/>
        </w:rPr>
        <w:t xml:space="preserve">, Inc. </w:t>
      </w:r>
      <w:r w:rsidRPr="00303597">
        <w:rPr>
          <w:color w:val="000000"/>
          <w:spacing w:val="-5"/>
          <w:lang w:val="en-US"/>
        </w:rPr>
        <w:t xml:space="preserve">(“SHG”), Southcoast Physicians Group, Inc. (“SPG”) y Southcoast Visiting Nurse Association, Inc. </w:t>
      </w:r>
      <w:r w:rsidRPr="007F6F58">
        <w:rPr>
          <w:color w:val="000000"/>
          <w:spacing w:val="-5"/>
        </w:rPr>
        <w:t xml:space="preserve">(“SCVNA”).  </w:t>
      </w:r>
    </w:p>
    <w:p w14:paraId="6A2BAC09" w14:textId="77777777" w:rsidR="007D6831" w:rsidRPr="007F6F58" w:rsidRDefault="007D6831" w:rsidP="00487AC7">
      <w:pPr>
        <w:spacing w:line="260" w:lineRule="exact"/>
        <w:rPr>
          <w:color w:val="000000"/>
          <w:spacing w:val="-5"/>
        </w:rPr>
      </w:pPr>
    </w:p>
    <w:p w14:paraId="04F530A0" w14:textId="741E822A" w:rsidR="007D6831" w:rsidRPr="007F6F58" w:rsidRDefault="00806A25" w:rsidP="00487AC7">
      <w:pPr>
        <w:spacing w:line="260" w:lineRule="exact"/>
        <w:rPr>
          <w:spacing w:val="-5"/>
        </w:rPr>
      </w:pPr>
      <w:r w:rsidRPr="007F6F58">
        <w:rPr>
          <w:spacing w:val="-5"/>
        </w:rPr>
        <w:t xml:space="preserve">Esta política tiene por objeto proporcionar a los pacientes de Southcoast </w:t>
      </w:r>
      <w:proofErr w:type="spellStart"/>
      <w:r w:rsidRPr="007F6F58">
        <w:rPr>
          <w:spacing w:val="-5"/>
        </w:rPr>
        <w:t>Health</w:t>
      </w:r>
      <w:proofErr w:type="spellEnd"/>
      <w:r w:rsidRPr="007F6F58">
        <w:rPr>
          <w:spacing w:val="-5"/>
        </w:rPr>
        <w:t xml:space="preserve"> información sobre las respectivas políticas de asistencia financiera y cobro de SHG, SPG y SCVNA, respectivamente, y establecer prácticas coherentes de crédito y cobro en todo SHS. </w:t>
      </w:r>
    </w:p>
    <w:p w14:paraId="1FFB06EF" w14:textId="77777777" w:rsidR="007D6831" w:rsidRPr="007F6F58" w:rsidRDefault="007D6831" w:rsidP="00487AC7">
      <w:pPr>
        <w:spacing w:line="260" w:lineRule="exact"/>
        <w:rPr>
          <w:spacing w:val="-5"/>
        </w:rPr>
      </w:pPr>
    </w:p>
    <w:p w14:paraId="068EC58E" w14:textId="51890364" w:rsidR="001C557D" w:rsidRPr="007F6F58" w:rsidRDefault="00920241" w:rsidP="00354569">
      <w:pPr>
        <w:spacing w:line="260" w:lineRule="exact"/>
        <w:rPr>
          <w:color w:val="000000"/>
          <w:spacing w:val="-5"/>
        </w:rPr>
      </w:pPr>
      <w:r w:rsidRPr="007F6F58">
        <w:rPr>
          <w:spacing w:val="-5"/>
        </w:rPr>
        <w:t xml:space="preserve">Esta Política se aplica a SHG, SPG y SCVNA, pero los pacientes deben tener en cuenta que ciertas disposiciones sólo se aplican a SHG (y se designan como tales a continuación) de acuerdo con la ley aplicable.  Cuando se utiliza en este documento, </w:t>
      </w:r>
      <w:r w:rsidR="00354569">
        <w:rPr>
          <w:spacing w:val="-5"/>
        </w:rPr>
        <w:t>“</w:t>
      </w:r>
      <w:r w:rsidRPr="007F6F58">
        <w:rPr>
          <w:spacing w:val="-5"/>
        </w:rPr>
        <w:t>SHS</w:t>
      </w:r>
      <w:r w:rsidR="00354569">
        <w:rPr>
          <w:spacing w:val="-5"/>
        </w:rPr>
        <w:t>”</w:t>
      </w:r>
      <w:r w:rsidRPr="007F6F58">
        <w:rPr>
          <w:spacing w:val="-5"/>
        </w:rPr>
        <w:t xml:space="preserve"> o </w:t>
      </w:r>
      <w:r w:rsidR="00354569">
        <w:rPr>
          <w:spacing w:val="-5"/>
        </w:rPr>
        <w:t>“</w:t>
      </w:r>
      <w:r w:rsidRPr="007F6F58">
        <w:rPr>
          <w:spacing w:val="-5"/>
        </w:rPr>
        <w:t xml:space="preserve">Southcoast </w:t>
      </w:r>
      <w:proofErr w:type="spellStart"/>
      <w:r w:rsidRPr="007F6F58">
        <w:rPr>
          <w:spacing w:val="-5"/>
        </w:rPr>
        <w:t>Health</w:t>
      </w:r>
      <w:proofErr w:type="spellEnd"/>
      <w:r w:rsidR="00354569">
        <w:rPr>
          <w:spacing w:val="-5"/>
        </w:rPr>
        <w:t>”</w:t>
      </w:r>
      <w:r w:rsidRPr="007F6F58">
        <w:rPr>
          <w:spacing w:val="-5"/>
        </w:rPr>
        <w:t xml:space="preserve"> tiene la intención de referirse a SHG, SPG y SCVNA colectivamente (a menos que el contexto indique lo contrario), y cuando una entidad específica de Southcoast esté listada (por ejemplo, </w:t>
      </w:r>
      <w:r w:rsidR="00354569">
        <w:rPr>
          <w:spacing w:val="-5"/>
        </w:rPr>
        <w:t>“</w:t>
      </w:r>
      <w:r w:rsidRPr="007F6F58">
        <w:rPr>
          <w:spacing w:val="-5"/>
        </w:rPr>
        <w:t>SHG</w:t>
      </w:r>
      <w:r w:rsidR="00354569">
        <w:rPr>
          <w:spacing w:val="-5"/>
        </w:rPr>
        <w:t>”</w:t>
      </w:r>
      <w:r w:rsidRPr="007F6F58">
        <w:rPr>
          <w:spacing w:val="-5"/>
        </w:rPr>
        <w:t>) la disposición de la Política se aplicará solo a esa entidad.</w:t>
      </w:r>
    </w:p>
    <w:p w14:paraId="2E3D9655" w14:textId="77777777" w:rsidR="001C557D" w:rsidRPr="007F6F58" w:rsidRDefault="001C557D" w:rsidP="00487AC7">
      <w:pPr>
        <w:pStyle w:val="Heading1"/>
        <w:spacing w:line="260" w:lineRule="exact"/>
        <w:jc w:val="left"/>
        <w:rPr>
          <w:rFonts w:ascii="Cambria" w:hAnsi="Cambria"/>
          <w:spacing w:val="-5"/>
        </w:rPr>
      </w:pPr>
    </w:p>
    <w:p w14:paraId="0BBCF8C4" w14:textId="77777777" w:rsidR="001C557D" w:rsidRPr="007F6F58" w:rsidRDefault="001C557D" w:rsidP="00487AC7">
      <w:pPr>
        <w:pStyle w:val="Heading1"/>
        <w:spacing w:line="260" w:lineRule="exact"/>
        <w:jc w:val="left"/>
        <w:rPr>
          <w:spacing w:val="-5"/>
        </w:rPr>
      </w:pPr>
      <w:r w:rsidRPr="007F6F58">
        <w:rPr>
          <w:spacing w:val="-5"/>
        </w:rPr>
        <w:t>Política:</w:t>
      </w:r>
    </w:p>
    <w:p w14:paraId="6BA01CC7" w14:textId="77777777" w:rsidR="001C557D" w:rsidRPr="007F6F58" w:rsidRDefault="001C557D" w:rsidP="00487AC7">
      <w:pPr>
        <w:spacing w:line="260" w:lineRule="exact"/>
        <w:rPr>
          <w:color w:val="000000"/>
          <w:spacing w:val="-5"/>
        </w:rPr>
      </w:pPr>
    </w:p>
    <w:p w14:paraId="787CEEDF" w14:textId="3F33E663" w:rsidR="00D71211" w:rsidRPr="007F6F58" w:rsidRDefault="001C557D" w:rsidP="00487AC7">
      <w:pPr>
        <w:spacing w:line="260" w:lineRule="exact"/>
        <w:rPr>
          <w:spacing w:val="-5"/>
        </w:rPr>
      </w:pPr>
      <w:r w:rsidRPr="007F6F58">
        <w:rPr>
          <w:spacing w:val="-5"/>
        </w:rPr>
        <w:t xml:space="preserve">SHS presta la atención médica necesaria a todos los pacientes de manera no discriminatoria de acuerdo con la ley federal y estatal.  Southcoast </w:t>
      </w:r>
      <w:proofErr w:type="spellStart"/>
      <w:r w:rsidRPr="007F6F58">
        <w:rPr>
          <w:spacing w:val="-5"/>
        </w:rPr>
        <w:t>Health</w:t>
      </w:r>
      <w:proofErr w:type="spellEnd"/>
      <w:r w:rsidRPr="007F6F58">
        <w:rPr>
          <w:spacing w:val="-5"/>
        </w:rPr>
        <w:t xml:space="preserve"> no discriminará por motivos de raza, color, nacionalidad, ciudadanía, extranjería, religión, credo, sexo, orientación sexual, identidad de género, edad o discapacidad en sus políticas o en la aplicación de las mismas, en lo que respecta a la adquisición y verificación de información financiera, depósitos previos a la admisión o al tratamiento, planes de pago, admisiones diferidas o rechazadas, o estatus de paciente de bajos ingresos (como se define aquí).  Además, a los pacientes que requieran servicios de emergencia o urgentes en SHG no se </w:t>
      </w:r>
      <w:proofErr w:type="gramStart"/>
      <w:r w:rsidRPr="007F6F58">
        <w:rPr>
          <w:spacing w:val="-5"/>
        </w:rPr>
        <w:t>les</w:t>
      </w:r>
      <w:proofErr w:type="gramEnd"/>
      <w:r w:rsidRPr="007F6F58">
        <w:rPr>
          <w:spacing w:val="-5"/>
        </w:rPr>
        <w:t xml:space="preserve"> negará el acceso a la atención basándose en la capacidad de pago, la cobertura del seguro o nuestra capacidad para identificar a un paciente.    </w:t>
      </w:r>
    </w:p>
    <w:p w14:paraId="43E39896" w14:textId="77777777" w:rsidR="00D71211" w:rsidRPr="007F6F58" w:rsidRDefault="00D71211" w:rsidP="00487AC7">
      <w:pPr>
        <w:spacing w:line="260" w:lineRule="exact"/>
        <w:rPr>
          <w:spacing w:val="-5"/>
        </w:rPr>
      </w:pPr>
    </w:p>
    <w:p w14:paraId="0D618704" w14:textId="3E9D67AA" w:rsidR="00D71211" w:rsidRPr="007F6F58" w:rsidRDefault="00D71211" w:rsidP="00487AC7">
      <w:pPr>
        <w:spacing w:line="260" w:lineRule="exact"/>
        <w:rPr>
          <w:spacing w:val="-5"/>
        </w:rPr>
      </w:pPr>
      <w:r w:rsidRPr="007F6F58">
        <w:rPr>
          <w:spacing w:val="-5"/>
        </w:rPr>
        <w:t xml:space="preserve">El pronto pago de las cantidades adeudadas por los servicios prestados por Southcoast </w:t>
      </w:r>
      <w:proofErr w:type="spellStart"/>
      <w:r w:rsidRPr="007F6F58">
        <w:rPr>
          <w:spacing w:val="-5"/>
        </w:rPr>
        <w:t>Health</w:t>
      </w:r>
      <w:proofErr w:type="spellEnd"/>
      <w:r w:rsidRPr="007F6F58">
        <w:rPr>
          <w:spacing w:val="-5"/>
        </w:rPr>
        <w:t xml:space="preserve"> es necesario para permitir a SHS mantener la alta calidad de los servicios y continuar proporcionando el cuidado necesario a su comunidad.  SHS asistirá y aconsejará a los pacientes y a sus familias sobre todos los programas de asistencia sanitaria y beneficios financieros para los que puedan ser elegibles.  Los pacientes deben ser conscientes de que SHS se reserva el derecho de aplazar el tratamiento por parte de SHG, SPG y SCVNA para ciertos servicios electivos no urgentes, según lo determine el </w:t>
      </w:r>
      <w:r w:rsidRPr="007F6F58">
        <w:rPr>
          <w:spacing w:val="-5"/>
        </w:rPr>
        <w:lastRenderedPageBreak/>
        <w:t>proveedor de asistencia médica del paciente, basándose en consideraciones financieras de acuerdo con esta Política y la ley aplicable.</w:t>
      </w:r>
    </w:p>
    <w:p w14:paraId="718553BB" w14:textId="77777777" w:rsidR="00D71211" w:rsidRPr="007F6F58" w:rsidRDefault="00D71211" w:rsidP="00487AC7">
      <w:pPr>
        <w:spacing w:line="260" w:lineRule="exact"/>
        <w:rPr>
          <w:spacing w:val="-5"/>
        </w:rPr>
      </w:pPr>
    </w:p>
    <w:p w14:paraId="22EA1E61" w14:textId="2CA5542B" w:rsidR="00D71211" w:rsidRPr="007F6F58" w:rsidRDefault="00FE5C5A" w:rsidP="00487AC7">
      <w:pPr>
        <w:spacing w:line="260" w:lineRule="exact"/>
        <w:rPr>
          <w:spacing w:val="-5"/>
        </w:rPr>
      </w:pPr>
      <w:r w:rsidRPr="007F6F58">
        <w:rPr>
          <w:spacing w:val="-5"/>
        </w:rPr>
        <w:t xml:space="preserve">La Política de Crédito y Cobro de Southcoast </w:t>
      </w:r>
      <w:proofErr w:type="spellStart"/>
      <w:r w:rsidRPr="007F6F58">
        <w:rPr>
          <w:spacing w:val="-5"/>
        </w:rPr>
        <w:t>Health</w:t>
      </w:r>
      <w:proofErr w:type="spellEnd"/>
      <w:r w:rsidRPr="007F6F58">
        <w:rPr>
          <w:spacing w:val="-5"/>
        </w:rPr>
        <w:t xml:space="preserve"> (</w:t>
      </w:r>
      <w:r w:rsidR="0073022E">
        <w:rPr>
          <w:spacing w:val="-5"/>
        </w:rPr>
        <w:t>“</w:t>
      </w:r>
      <w:r w:rsidRPr="007F6F58">
        <w:rPr>
          <w:spacing w:val="-5"/>
        </w:rPr>
        <w:t>Política</w:t>
      </w:r>
      <w:r w:rsidR="0073022E">
        <w:rPr>
          <w:spacing w:val="-5"/>
        </w:rPr>
        <w:t>”</w:t>
      </w:r>
      <w:r w:rsidRPr="007F6F58">
        <w:rPr>
          <w:spacing w:val="-5"/>
        </w:rPr>
        <w:t xml:space="preserve">) se basa en los estándares de la industria para la contabilidad de los pacientes y tiene la intención de permitir a Southcoast </w:t>
      </w:r>
      <w:proofErr w:type="spellStart"/>
      <w:r w:rsidRPr="007F6F58">
        <w:rPr>
          <w:spacing w:val="-5"/>
        </w:rPr>
        <w:t>Health</w:t>
      </w:r>
      <w:proofErr w:type="spellEnd"/>
      <w:r w:rsidRPr="007F6F58">
        <w:rPr>
          <w:spacing w:val="-5"/>
        </w:rPr>
        <w:t xml:space="preserve"> proveer servicios de tratamiento de alta calidad a su comunidad y poder cobrar y recolectar por esos servicios de acuerdo con las obligaciones legales aplicables, incluyendo con respecto a los servicios de SHG y SPG prestados en una instalación hospitalaria de SHG con el criterio establecido por las regulaciones de la Oficina Ejecutiva de Salud y Servi</w:t>
      </w:r>
      <w:r w:rsidR="00F474A1">
        <w:rPr>
          <w:spacing w:val="-5"/>
        </w:rPr>
        <w:t>cios Humanos de Massachusetts (“</w:t>
      </w:r>
      <w:r w:rsidRPr="007F6F58">
        <w:rPr>
          <w:spacing w:val="-5"/>
        </w:rPr>
        <w:t>EOHHS</w:t>
      </w:r>
      <w:r w:rsidR="00F474A1">
        <w:rPr>
          <w:spacing w:val="-5"/>
        </w:rPr>
        <w:t>”</w:t>
      </w:r>
      <w:r w:rsidRPr="007F6F58">
        <w:rPr>
          <w:spacing w:val="-5"/>
        </w:rPr>
        <w:t>) en 101 CMR 613.00 (regulaciones que gobiernan los criterios para las políticas de crédito y cobro de los hospitales de cuidados agudos), el Código de Rentas Internas Sección 501(r), y las regulaciones implementadas bajo el mismo en 26 C.F.R. § 1.501(r)-0 y siguientes. Las referencias a la política de atención de emergencia/urgente se referirán a los servicios de tratamiento para condiciones médicas de emergencia según se definen en la Ley de Tratamiento Médico de Emergencia y Trabajo de Parto Activo (</w:t>
      </w:r>
      <w:r w:rsidR="00CE4F9F">
        <w:rPr>
          <w:spacing w:val="-5"/>
        </w:rPr>
        <w:t>“</w:t>
      </w:r>
      <w:r w:rsidRPr="007F6F58">
        <w:rPr>
          <w:spacing w:val="-5"/>
        </w:rPr>
        <w:t>EMTALA</w:t>
      </w:r>
      <w:r w:rsidR="00CE4F9F">
        <w:rPr>
          <w:spacing w:val="-5"/>
        </w:rPr>
        <w:t>”</w:t>
      </w:r>
      <w:r w:rsidRPr="007F6F58">
        <w:rPr>
          <w:spacing w:val="-5"/>
        </w:rPr>
        <w:t xml:space="preserve">) y las regulaciones y directrices emitidas en virtud de la misma. </w:t>
      </w:r>
    </w:p>
    <w:p w14:paraId="0A9C2304" w14:textId="77777777" w:rsidR="00D71211" w:rsidRPr="007F6F58" w:rsidRDefault="00D71211" w:rsidP="00487AC7">
      <w:pPr>
        <w:spacing w:line="260" w:lineRule="exact"/>
        <w:ind w:left="720"/>
        <w:rPr>
          <w:rFonts w:ascii="Cambria" w:hAnsi="Cambria"/>
          <w:spacing w:val="-5"/>
        </w:rPr>
      </w:pPr>
    </w:p>
    <w:p w14:paraId="22F817A3" w14:textId="22C6BEAD" w:rsidR="00D71211" w:rsidRPr="007F6F58" w:rsidRDefault="00FE5C5A" w:rsidP="00487AC7">
      <w:pPr>
        <w:spacing w:line="260" w:lineRule="exact"/>
        <w:rPr>
          <w:spacing w:val="-5"/>
        </w:rPr>
      </w:pPr>
      <w:r w:rsidRPr="007F6F58">
        <w:rPr>
          <w:spacing w:val="-5"/>
        </w:rPr>
        <w:t xml:space="preserve">La Política de Crédito y Cobro de Southcoast </w:t>
      </w:r>
      <w:proofErr w:type="spellStart"/>
      <w:r w:rsidRPr="007F6F58">
        <w:rPr>
          <w:spacing w:val="-5"/>
        </w:rPr>
        <w:t>Health</w:t>
      </w:r>
      <w:proofErr w:type="spellEnd"/>
      <w:r w:rsidRPr="007F6F58">
        <w:rPr>
          <w:spacing w:val="-5"/>
        </w:rPr>
        <w:t xml:space="preserve"> se presenta en la Oficina de la Red de Seguridad de Salud de EOHHS de acuerdo con 101 CMR 613.08(1)(c)(1), y Southcoast publica esta Política y sus listas de Proveedores Afiliados (si aplica), como se describe en 101 CMR 613.08(1)(d), en </w:t>
      </w:r>
      <w:hyperlink r:id="rId8" w:history="1">
        <w:r w:rsidRPr="007F6F58">
          <w:rPr>
            <w:rStyle w:val="Hyperlink"/>
            <w:spacing w:val="-5"/>
          </w:rPr>
          <w:t>https://www.southcoast.org/financial-assistance/</w:t>
        </w:r>
      </w:hyperlink>
      <w:r w:rsidRPr="007F6F58">
        <w:rPr>
          <w:spacing w:val="-5"/>
        </w:rPr>
        <w:t>.</w:t>
      </w:r>
    </w:p>
    <w:p w14:paraId="22AF911F" w14:textId="77777777" w:rsidR="00170237" w:rsidRPr="007F6F58" w:rsidRDefault="00170237" w:rsidP="00487AC7">
      <w:pPr>
        <w:spacing w:line="260" w:lineRule="exact"/>
        <w:rPr>
          <w:rFonts w:ascii="Cambria" w:hAnsi="Cambria"/>
          <w:spacing w:val="-5"/>
        </w:rPr>
      </w:pPr>
    </w:p>
    <w:p w14:paraId="445F21FC" w14:textId="77777777" w:rsidR="001C557D" w:rsidRPr="007F6F58" w:rsidRDefault="001C557D" w:rsidP="00487AC7">
      <w:pPr>
        <w:spacing w:line="260" w:lineRule="exact"/>
        <w:rPr>
          <w:spacing w:val="-5"/>
        </w:rPr>
      </w:pPr>
      <w:r w:rsidRPr="007F6F58">
        <w:rPr>
          <w:b/>
          <w:spacing w:val="-5"/>
          <w:u w:val="single"/>
        </w:rPr>
        <w:t>Definiciones</w:t>
      </w:r>
      <w:r w:rsidRPr="007F6F58">
        <w:rPr>
          <w:spacing w:val="-5"/>
        </w:rPr>
        <w:t>:</w:t>
      </w:r>
    </w:p>
    <w:p w14:paraId="10A7A494" w14:textId="77777777" w:rsidR="001C557D" w:rsidRPr="007F6F58" w:rsidRDefault="001C557D" w:rsidP="00487AC7">
      <w:pPr>
        <w:spacing w:line="260" w:lineRule="exact"/>
        <w:rPr>
          <w:spacing w:val="-5"/>
        </w:rPr>
      </w:pPr>
    </w:p>
    <w:p w14:paraId="0A61880D" w14:textId="77777777" w:rsidR="001C557D" w:rsidRPr="007F6F58" w:rsidRDefault="001C557D" w:rsidP="00487AC7">
      <w:pPr>
        <w:spacing w:line="260" w:lineRule="exact"/>
        <w:rPr>
          <w:b/>
          <w:spacing w:val="-5"/>
          <w:u w:val="single"/>
        </w:rPr>
      </w:pPr>
      <w:r w:rsidRPr="007F6F58">
        <w:rPr>
          <w:b/>
          <w:spacing w:val="-5"/>
          <w:u w:val="single"/>
        </w:rPr>
        <w:t>Programas de asistencia financiera</w:t>
      </w:r>
    </w:p>
    <w:p w14:paraId="5AAD1CBC" w14:textId="6B804903" w:rsidR="001C557D" w:rsidRPr="007F6F58" w:rsidRDefault="001C557D" w:rsidP="00487AC7">
      <w:pPr>
        <w:spacing w:line="260" w:lineRule="exact"/>
        <w:rPr>
          <w:spacing w:val="-5"/>
        </w:rPr>
      </w:pPr>
      <w:r w:rsidRPr="007F6F58">
        <w:rPr>
          <w:spacing w:val="-5"/>
        </w:rPr>
        <w:t xml:space="preserve">El Programa de Asistencia Financiera es un programa que tiene por objeto ayudar a los pacientes de bajos ingresos, sin seguro o con seguro insuficiente y a otras personas que se enfrentan a dificultades médicas y que de otro modo no tienen la capacidad de pagar sus servicios de atención de la salud, de conformidad con el artículo 501(r) del Código de Impuestos Internos.  En esa asistencia se tiene en cuenta la capacidad de cada persona para contribuir al costo de su atención, y las leyes y reglamentos aplicables que rigen la atención de beneficencia y los descuentos para los pacientes no asegurados e insuficientemente asegurados.  También se tiene en cuenta a los pacientes que han agotado las prestaciones de su seguro y/o que superan los criterios de elegibilidad </w:t>
      </w:r>
      <w:proofErr w:type="gramStart"/>
      <w:r w:rsidRPr="007F6F58">
        <w:rPr>
          <w:spacing w:val="-5"/>
        </w:rPr>
        <w:t>financiera</w:t>
      </w:r>
      <w:proofErr w:type="gramEnd"/>
      <w:r w:rsidRPr="007F6F58">
        <w:rPr>
          <w:spacing w:val="-5"/>
        </w:rPr>
        <w:t xml:space="preserve"> pero se enfrentan a un costo médico extraordinario.  El Programa de Asistencia Financiera no sustituye a los programas de seguro patrocinados por el empleador, la asistencia financiera pública o comprados individualmente.</w:t>
      </w:r>
    </w:p>
    <w:p w14:paraId="5E837FD1" w14:textId="77777777" w:rsidR="001226AA" w:rsidRPr="007F6F58" w:rsidRDefault="001226AA" w:rsidP="00487AC7">
      <w:pPr>
        <w:spacing w:line="260" w:lineRule="exact"/>
        <w:rPr>
          <w:spacing w:val="-5"/>
        </w:rPr>
      </w:pPr>
    </w:p>
    <w:p w14:paraId="75CB61CB" w14:textId="314AAA6E" w:rsidR="005D4F7D" w:rsidRPr="007F6F58" w:rsidRDefault="005D4F7D" w:rsidP="00487AC7">
      <w:pPr>
        <w:spacing w:line="260" w:lineRule="exact"/>
        <w:rPr>
          <w:b/>
          <w:spacing w:val="-5"/>
          <w:u w:val="single"/>
        </w:rPr>
      </w:pPr>
      <w:r w:rsidRPr="007F6F58">
        <w:rPr>
          <w:b/>
          <w:spacing w:val="-5"/>
          <w:u w:val="single"/>
        </w:rPr>
        <w:t>Atención emergente/ urgente</w:t>
      </w:r>
    </w:p>
    <w:p w14:paraId="1673A607" w14:textId="4B930C41" w:rsidR="005D4F7D" w:rsidRPr="007F6F58" w:rsidRDefault="008278A4" w:rsidP="00487AC7">
      <w:pPr>
        <w:spacing w:line="260" w:lineRule="exact"/>
        <w:rPr>
          <w:spacing w:val="-5"/>
        </w:rPr>
      </w:pPr>
      <w:r w:rsidRPr="007F6F58">
        <w:rPr>
          <w:spacing w:val="-5"/>
        </w:rPr>
        <w:t xml:space="preserve">Tratamiento proporcionado en un centro de SHG para una condición médica de emergencia, ya sea física o mental, que se manifieste mediante síntomas de suficiente gravedad, incluidos el dolor intenso y el trabajo de parto activo, de tal manera que una persona prudente pueda esperar razonablemente que la ausencia de atención médica inmediata ponga en grave peligro la salud de la persona (o del niño por nacer) o cause un deterioro o disfunción graves.  42 U.S.C. § 1395dd(e)(1).   </w:t>
      </w:r>
    </w:p>
    <w:p w14:paraId="6DB528FE" w14:textId="77777777" w:rsidR="005D4F7D" w:rsidRPr="007F6F58" w:rsidRDefault="005D4F7D" w:rsidP="00487AC7">
      <w:pPr>
        <w:spacing w:line="260" w:lineRule="exact"/>
        <w:rPr>
          <w:b/>
          <w:spacing w:val="-5"/>
          <w:u w:val="single"/>
        </w:rPr>
      </w:pPr>
    </w:p>
    <w:p w14:paraId="59F278EE" w14:textId="77777777" w:rsidR="005D4F7D" w:rsidRPr="007F6F58" w:rsidRDefault="005D4F7D" w:rsidP="00487AC7">
      <w:pPr>
        <w:spacing w:line="260" w:lineRule="exact"/>
        <w:rPr>
          <w:b/>
          <w:spacing w:val="-5"/>
          <w:u w:val="single"/>
        </w:rPr>
      </w:pPr>
      <w:r w:rsidRPr="007F6F58">
        <w:rPr>
          <w:b/>
          <w:spacing w:val="-5"/>
          <w:u w:val="single"/>
        </w:rPr>
        <w:t>Atención electiva; no emergente o no urgente</w:t>
      </w:r>
    </w:p>
    <w:p w14:paraId="46162897" w14:textId="241CC87F" w:rsidR="005D4F7D" w:rsidRPr="007F6F58" w:rsidRDefault="005D4F7D" w:rsidP="00487AC7">
      <w:pPr>
        <w:spacing w:line="260" w:lineRule="exact"/>
        <w:rPr>
          <w:spacing w:val="-5"/>
        </w:rPr>
      </w:pPr>
      <w:r w:rsidRPr="007F6F58">
        <w:rPr>
          <w:spacing w:val="-5"/>
        </w:rPr>
        <w:t xml:space="preserve">Atención médica necesaria requerida por individuos o familias que sea apropiada para el mantenimiento de la salud y la prevención de la enfermedad pero que no se ajuste a la definición de atención de emergencia/urgente.  </w:t>
      </w:r>
    </w:p>
    <w:p w14:paraId="5B1FF26F" w14:textId="77777777" w:rsidR="005D4F7D" w:rsidRPr="007F6F58" w:rsidRDefault="005D4F7D" w:rsidP="00487AC7">
      <w:pPr>
        <w:spacing w:line="260" w:lineRule="exact"/>
        <w:rPr>
          <w:b/>
          <w:spacing w:val="-5"/>
          <w:u w:val="single"/>
        </w:rPr>
      </w:pPr>
    </w:p>
    <w:p w14:paraId="73A47466" w14:textId="77777777" w:rsidR="00846C7C" w:rsidRPr="007F6F58" w:rsidRDefault="00846C7C" w:rsidP="00487AC7">
      <w:pPr>
        <w:spacing w:line="260" w:lineRule="exact"/>
        <w:rPr>
          <w:b/>
          <w:spacing w:val="-5"/>
          <w:u w:val="single"/>
        </w:rPr>
      </w:pPr>
      <w:r w:rsidRPr="007F6F58">
        <w:rPr>
          <w:b/>
          <w:spacing w:val="-5"/>
          <w:u w:val="single"/>
        </w:rPr>
        <w:t>Terceros</w:t>
      </w:r>
    </w:p>
    <w:p w14:paraId="0712525D" w14:textId="77777777" w:rsidR="00846C7C" w:rsidRPr="007F6F58" w:rsidRDefault="00846C7C" w:rsidP="00487AC7">
      <w:pPr>
        <w:spacing w:line="260" w:lineRule="exact"/>
        <w:rPr>
          <w:spacing w:val="-5"/>
        </w:rPr>
      </w:pPr>
      <w:r w:rsidRPr="007F6F58">
        <w:rPr>
          <w:spacing w:val="-5"/>
        </w:rPr>
        <w:t>Cualquier individuo, entidad o programa que sea o pueda ser responsable de pagar todo o parte del costo de los servicios médicos.</w:t>
      </w:r>
    </w:p>
    <w:p w14:paraId="64EE5D13" w14:textId="77777777" w:rsidR="001226AA" w:rsidRPr="007F6F58" w:rsidRDefault="001226AA" w:rsidP="00487AC7">
      <w:pPr>
        <w:spacing w:line="260" w:lineRule="exact"/>
        <w:rPr>
          <w:b/>
          <w:spacing w:val="-5"/>
          <w:u w:val="single"/>
        </w:rPr>
      </w:pPr>
    </w:p>
    <w:p w14:paraId="277590F3" w14:textId="77777777" w:rsidR="001226AA" w:rsidRPr="007F6F58" w:rsidRDefault="001226AA" w:rsidP="00487AC7">
      <w:pPr>
        <w:spacing w:line="260" w:lineRule="exact"/>
        <w:rPr>
          <w:b/>
          <w:spacing w:val="-5"/>
          <w:u w:val="single"/>
        </w:rPr>
      </w:pPr>
      <w:r w:rsidRPr="007F6F58">
        <w:rPr>
          <w:b/>
          <w:spacing w:val="-5"/>
          <w:u w:val="single"/>
        </w:rPr>
        <w:lastRenderedPageBreak/>
        <w:t>Paciente de bajos ingresos</w:t>
      </w:r>
    </w:p>
    <w:p w14:paraId="04939432" w14:textId="2B0ABB7A" w:rsidR="0005476C" w:rsidRPr="007F6F58" w:rsidRDefault="001226AA" w:rsidP="00487AC7">
      <w:pPr>
        <w:spacing w:line="260" w:lineRule="exact"/>
        <w:rPr>
          <w:spacing w:val="-5"/>
        </w:rPr>
      </w:pPr>
      <w:r w:rsidRPr="007F6F58">
        <w:rPr>
          <w:spacing w:val="-5"/>
        </w:rPr>
        <w:t>Un individuo que cumple con los criterios bajo 101 CMR 613.04(2).</w:t>
      </w:r>
    </w:p>
    <w:p w14:paraId="67D63268" w14:textId="77777777" w:rsidR="0005476C" w:rsidRPr="007F6F58" w:rsidRDefault="0005476C" w:rsidP="00487AC7">
      <w:pPr>
        <w:spacing w:line="260" w:lineRule="exact"/>
        <w:rPr>
          <w:spacing w:val="-5"/>
        </w:rPr>
      </w:pPr>
    </w:p>
    <w:p w14:paraId="14A0B545" w14:textId="08893DC9" w:rsidR="00231E17" w:rsidRPr="007F6F58" w:rsidRDefault="00231E17" w:rsidP="00487AC7">
      <w:pPr>
        <w:spacing w:line="260" w:lineRule="exact"/>
        <w:rPr>
          <w:spacing w:val="-5"/>
        </w:rPr>
      </w:pPr>
      <w:r w:rsidRPr="007F6F58">
        <w:rPr>
          <w:b/>
          <w:spacing w:val="-5"/>
          <w:u w:val="single"/>
        </w:rPr>
        <w:t>Elegibilidad en tiempo real (RTE, por sus siglas en inglés):</w:t>
      </w:r>
      <w:r w:rsidRPr="007F6F58">
        <w:rPr>
          <w:b/>
          <w:spacing w:val="-5"/>
        </w:rPr>
        <w:t xml:space="preserve"> </w:t>
      </w:r>
      <w:r w:rsidRPr="007F6F58">
        <w:rPr>
          <w:spacing w:val="-5"/>
        </w:rPr>
        <w:t xml:space="preserve">El proceso de verificación de salud de Southcoast </w:t>
      </w:r>
      <w:proofErr w:type="spellStart"/>
      <w:r w:rsidRPr="007F6F58">
        <w:rPr>
          <w:spacing w:val="-5"/>
        </w:rPr>
        <w:t>Health</w:t>
      </w:r>
      <w:proofErr w:type="spellEnd"/>
      <w:r w:rsidRPr="007F6F58">
        <w:rPr>
          <w:spacing w:val="-5"/>
        </w:rPr>
        <w:t xml:space="preserve"> que comprueba el estado del seguro de un paciente y proporciona detalles de los beneficios y responsabilidades individuales.  Los montos de copagos generalmente se pueden encontrar revisando la respuesta de RTE.</w:t>
      </w:r>
    </w:p>
    <w:p w14:paraId="7456CD90" w14:textId="77777777" w:rsidR="00B42D53" w:rsidRPr="007F6F58" w:rsidRDefault="00B42D53" w:rsidP="00487AC7">
      <w:pPr>
        <w:spacing w:line="260" w:lineRule="exact"/>
        <w:rPr>
          <w:b/>
          <w:bCs/>
          <w:color w:val="000000"/>
          <w:spacing w:val="-5"/>
          <w:u w:val="single"/>
        </w:rPr>
      </w:pPr>
    </w:p>
    <w:p w14:paraId="411901AD" w14:textId="77777777" w:rsidR="00234664" w:rsidRPr="007F6F58" w:rsidRDefault="00A076F5" w:rsidP="00487AC7">
      <w:pPr>
        <w:spacing w:line="260" w:lineRule="exact"/>
        <w:rPr>
          <w:b/>
          <w:bCs/>
          <w:color w:val="000000"/>
          <w:spacing w:val="-5"/>
          <w:u w:val="single"/>
        </w:rPr>
      </w:pPr>
      <w:r w:rsidRPr="007F6F58">
        <w:rPr>
          <w:b/>
          <w:color w:val="000000"/>
          <w:spacing w:val="-5"/>
          <w:u w:val="single"/>
        </w:rPr>
        <w:t xml:space="preserve">Procedimiento:  </w:t>
      </w:r>
    </w:p>
    <w:p w14:paraId="77622721" w14:textId="77777777" w:rsidR="00A076F5" w:rsidRPr="007F6F58" w:rsidRDefault="00A076F5" w:rsidP="00487AC7">
      <w:pPr>
        <w:spacing w:line="260" w:lineRule="exact"/>
        <w:rPr>
          <w:b/>
          <w:bCs/>
          <w:color w:val="000000"/>
          <w:spacing w:val="-5"/>
        </w:rPr>
      </w:pPr>
    </w:p>
    <w:p w14:paraId="0B8422AA" w14:textId="77777777" w:rsidR="00885C6F" w:rsidRPr="007F6F58" w:rsidRDefault="00234664" w:rsidP="00487AC7">
      <w:pPr>
        <w:spacing w:line="260" w:lineRule="exact"/>
        <w:rPr>
          <w:b/>
          <w:bCs/>
          <w:color w:val="000000"/>
          <w:spacing w:val="-5"/>
        </w:rPr>
      </w:pPr>
      <w:r w:rsidRPr="007F6F58">
        <w:rPr>
          <w:b/>
          <w:color w:val="000000"/>
          <w:spacing w:val="-5"/>
        </w:rPr>
        <w:t>I.</w:t>
      </w:r>
      <w:r w:rsidRPr="007F6F58">
        <w:rPr>
          <w:b/>
          <w:color w:val="000000"/>
          <w:spacing w:val="-5"/>
        </w:rPr>
        <w:tab/>
      </w:r>
      <w:r w:rsidRPr="0071587A">
        <w:rPr>
          <w:b/>
          <w:smallCaps/>
          <w:color w:val="000000"/>
          <w:spacing w:val="-5"/>
        </w:rPr>
        <w:t>Información sobre la cobertura de salud del paciente y recursos</w:t>
      </w:r>
    </w:p>
    <w:p w14:paraId="67328908" w14:textId="77777777" w:rsidR="00885C6F" w:rsidRPr="007F6F58" w:rsidRDefault="00885C6F" w:rsidP="00487AC7">
      <w:pPr>
        <w:spacing w:line="260" w:lineRule="exact"/>
        <w:ind w:left="1440" w:hanging="1440"/>
        <w:rPr>
          <w:b/>
          <w:bCs/>
          <w:color w:val="000000"/>
          <w:spacing w:val="-5"/>
        </w:rPr>
      </w:pPr>
    </w:p>
    <w:p w14:paraId="18BFD75E" w14:textId="77777777" w:rsidR="00885C6F" w:rsidRPr="007F6F58" w:rsidRDefault="00885C6F" w:rsidP="00487AC7">
      <w:pPr>
        <w:numPr>
          <w:ilvl w:val="0"/>
          <w:numId w:val="9"/>
        </w:numPr>
        <w:tabs>
          <w:tab w:val="clear" w:pos="504"/>
          <w:tab w:val="num" w:pos="540"/>
        </w:tabs>
        <w:spacing w:line="260" w:lineRule="exact"/>
        <w:ind w:left="540" w:hanging="540"/>
        <w:rPr>
          <w:b/>
          <w:color w:val="000000"/>
          <w:spacing w:val="-5"/>
          <w:u w:val="single"/>
        </w:rPr>
      </w:pPr>
      <w:r w:rsidRPr="007F6F58">
        <w:rPr>
          <w:b/>
          <w:color w:val="000000"/>
          <w:spacing w:val="-5"/>
          <w:u w:val="single"/>
        </w:rPr>
        <w:t>Adquisición de información</w:t>
      </w:r>
    </w:p>
    <w:p w14:paraId="12B5F45D" w14:textId="77777777" w:rsidR="00885C6F" w:rsidRPr="007F6F58" w:rsidRDefault="00885C6F" w:rsidP="00487AC7">
      <w:pPr>
        <w:spacing w:line="260" w:lineRule="exact"/>
        <w:ind w:left="1080"/>
        <w:rPr>
          <w:color w:val="000000"/>
          <w:spacing w:val="-5"/>
        </w:rPr>
      </w:pPr>
    </w:p>
    <w:p w14:paraId="696C44A3" w14:textId="717E722B" w:rsidR="00885C6F" w:rsidRPr="007F6F58" w:rsidRDefault="00885C6F" w:rsidP="00487AC7">
      <w:pPr>
        <w:numPr>
          <w:ilvl w:val="1"/>
          <w:numId w:val="9"/>
        </w:numPr>
        <w:tabs>
          <w:tab w:val="clear" w:pos="936"/>
          <w:tab w:val="num" w:pos="900"/>
        </w:tabs>
        <w:spacing w:line="260" w:lineRule="exact"/>
        <w:ind w:left="900" w:hanging="720"/>
        <w:rPr>
          <w:color w:val="000000"/>
          <w:spacing w:val="-5"/>
        </w:rPr>
      </w:pPr>
      <w:r w:rsidRPr="007F6F58">
        <w:rPr>
          <w:color w:val="000000"/>
          <w:spacing w:val="-5"/>
        </w:rPr>
        <w:t>Es responsabilidad del paciente proporcionar a SHS información precisa sobre el seguro médico, la dirección y la información sobre los recursos financieros aplicables para determinar si el paciente es elegible para la cobertura a través de un seguro privado existente, programas de asistencia pública disponibles o a través de cualquier otra fuente de pago.</w:t>
      </w:r>
    </w:p>
    <w:p w14:paraId="79920B89" w14:textId="77777777" w:rsidR="00885C6F" w:rsidRPr="007F6F58" w:rsidRDefault="00885C6F" w:rsidP="00487AC7">
      <w:pPr>
        <w:spacing w:line="260" w:lineRule="exact"/>
        <w:ind w:left="576"/>
        <w:rPr>
          <w:color w:val="000000"/>
          <w:spacing w:val="-5"/>
        </w:rPr>
      </w:pPr>
      <w:r w:rsidRPr="007F6F58">
        <w:rPr>
          <w:color w:val="000000"/>
          <w:spacing w:val="-5"/>
        </w:rPr>
        <w:t xml:space="preserve"> </w:t>
      </w:r>
    </w:p>
    <w:p w14:paraId="72D17D4E" w14:textId="77C8DCCC" w:rsidR="00885C6F" w:rsidRPr="007F6F58" w:rsidRDefault="00885C6F" w:rsidP="00487AC7">
      <w:pPr>
        <w:numPr>
          <w:ilvl w:val="1"/>
          <w:numId w:val="9"/>
        </w:numPr>
        <w:tabs>
          <w:tab w:val="clear" w:pos="936"/>
          <w:tab w:val="num" w:pos="900"/>
        </w:tabs>
        <w:spacing w:line="260" w:lineRule="exact"/>
        <w:ind w:left="900" w:hanging="720"/>
        <w:rPr>
          <w:color w:val="000000"/>
          <w:spacing w:val="-5"/>
        </w:rPr>
      </w:pPr>
      <w:r w:rsidRPr="007F6F58">
        <w:rPr>
          <w:color w:val="000000"/>
          <w:spacing w:val="-5"/>
        </w:rPr>
        <w:t>En el momento en que se programe un servicio para el paciente, o en el momento del registro del paciente, SHS obtendrá y verificará la información financiera necesaria para determinar la responsabilidad del pago de los servicios de SHS por parte del paciente, un tercero pagador u otro garante.  Las políticas para reunir y verificar la información del paciente están disponibles en la Política y Procedimiento de Acceso del Paciente.  Las políticas se refieren a las áreas de registro, incluyendo la clínica, los pacientes internos y los servicios de emergencia.</w:t>
      </w:r>
    </w:p>
    <w:p w14:paraId="69C100F6" w14:textId="77777777" w:rsidR="006C2A25" w:rsidRPr="007F6F58" w:rsidRDefault="006C2A25" w:rsidP="00487AC7">
      <w:pPr>
        <w:pStyle w:val="ListParagraph"/>
        <w:spacing w:line="260" w:lineRule="exact"/>
        <w:ind w:hanging="720"/>
        <w:rPr>
          <w:color w:val="000000"/>
          <w:spacing w:val="-5"/>
        </w:rPr>
      </w:pPr>
    </w:p>
    <w:p w14:paraId="2C4EBF4D" w14:textId="12A5D1FB" w:rsidR="009F1EC5" w:rsidRPr="007F6F58" w:rsidRDefault="00885C6F" w:rsidP="00487AC7">
      <w:pPr>
        <w:numPr>
          <w:ilvl w:val="1"/>
          <w:numId w:val="9"/>
        </w:numPr>
        <w:tabs>
          <w:tab w:val="clear" w:pos="936"/>
          <w:tab w:val="num" w:pos="900"/>
        </w:tabs>
        <w:spacing w:line="260" w:lineRule="exact"/>
        <w:ind w:left="900" w:hanging="720"/>
        <w:rPr>
          <w:color w:val="000000"/>
          <w:spacing w:val="-5"/>
        </w:rPr>
      </w:pPr>
      <w:r w:rsidRPr="007F6F58">
        <w:rPr>
          <w:color w:val="000000"/>
          <w:spacing w:val="-5"/>
        </w:rPr>
        <w:t xml:space="preserve">Si el paciente o el garante no puede proporcionar la información necesaria, y proporciona la autorización, SHS hará esfuerzos razonables para contactar a los familiares o amigos para obtener información adicional mientras el paciente está bajo el cuidado de SHS.  </w:t>
      </w:r>
    </w:p>
    <w:p w14:paraId="640DAFF5" w14:textId="77777777" w:rsidR="009F1EC5" w:rsidRPr="007F6F58" w:rsidRDefault="009F1EC5" w:rsidP="00487AC7">
      <w:pPr>
        <w:spacing w:line="260" w:lineRule="exact"/>
        <w:ind w:left="900"/>
        <w:rPr>
          <w:color w:val="000000"/>
          <w:spacing w:val="-5"/>
        </w:rPr>
      </w:pPr>
    </w:p>
    <w:p w14:paraId="7C2432AD" w14:textId="6930DAFB" w:rsidR="00885C6F" w:rsidRPr="007F6F58" w:rsidRDefault="00E32369" w:rsidP="00487AC7">
      <w:pPr>
        <w:numPr>
          <w:ilvl w:val="1"/>
          <w:numId w:val="9"/>
        </w:numPr>
        <w:tabs>
          <w:tab w:val="clear" w:pos="936"/>
          <w:tab w:val="num" w:pos="900"/>
        </w:tabs>
        <w:spacing w:line="260" w:lineRule="exact"/>
        <w:ind w:left="900" w:hanging="720"/>
        <w:rPr>
          <w:color w:val="000000"/>
          <w:spacing w:val="-5"/>
        </w:rPr>
      </w:pPr>
      <w:r w:rsidRPr="007F6F58">
        <w:rPr>
          <w:color w:val="000000"/>
          <w:spacing w:val="-5"/>
        </w:rPr>
        <w:t>Esta Política será administrada, y toda la información será obtenida y divulgada, de acuerdo con las leyes y regulaciones federales y estatales de privacidad y seguridad aplicables.</w:t>
      </w:r>
    </w:p>
    <w:p w14:paraId="13B90D89" w14:textId="77777777" w:rsidR="00885C6F" w:rsidRPr="007F6F58" w:rsidRDefault="00885C6F" w:rsidP="00487AC7">
      <w:pPr>
        <w:pStyle w:val="ListParagraph"/>
        <w:spacing w:line="260" w:lineRule="exact"/>
        <w:ind w:hanging="720"/>
        <w:rPr>
          <w:color w:val="000000"/>
          <w:spacing w:val="-5"/>
        </w:rPr>
      </w:pPr>
    </w:p>
    <w:p w14:paraId="3D490FD2" w14:textId="438DCB7E" w:rsidR="00885C6F" w:rsidRPr="007F6F58" w:rsidRDefault="00885C6F" w:rsidP="00487AC7">
      <w:pPr>
        <w:numPr>
          <w:ilvl w:val="1"/>
          <w:numId w:val="9"/>
        </w:numPr>
        <w:tabs>
          <w:tab w:val="clear" w:pos="936"/>
          <w:tab w:val="num" w:pos="900"/>
        </w:tabs>
        <w:spacing w:line="260" w:lineRule="exact"/>
        <w:ind w:left="900" w:hanging="720"/>
        <w:rPr>
          <w:color w:val="000000"/>
          <w:spacing w:val="-5"/>
        </w:rPr>
      </w:pPr>
      <w:r w:rsidRPr="007F6F58">
        <w:rPr>
          <w:color w:val="000000"/>
          <w:spacing w:val="-5"/>
        </w:rPr>
        <w:t>Un paciente previamente determinado como el</w:t>
      </w:r>
      <w:r w:rsidR="0071587A">
        <w:rPr>
          <w:color w:val="000000"/>
          <w:spacing w:val="-5"/>
        </w:rPr>
        <w:t xml:space="preserve">egible para </w:t>
      </w:r>
      <w:proofErr w:type="spellStart"/>
      <w:r w:rsidR="0071587A">
        <w:rPr>
          <w:color w:val="000000"/>
          <w:spacing w:val="-5"/>
        </w:rPr>
        <w:t>Health</w:t>
      </w:r>
      <w:proofErr w:type="spellEnd"/>
      <w:r w:rsidR="0071587A">
        <w:rPr>
          <w:color w:val="000000"/>
          <w:spacing w:val="-5"/>
        </w:rPr>
        <w:t xml:space="preserve"> Safety Net (“</w:t>
      </w:r>
      <w:r w:rsidRPr="007F6F58">
        <w:rPr>
          <w:color w:val="000000"/>
          <w:spacing w:val="-5"/>
        </w:rPr>
        <w:t>HSN</w:t>
      </w:r>
      <w:r w:rsidR="0071587A">
        <w:rPr>
          <w:color w:val="000000"/>
          <w:spacing w:val="-5"/>
        </w:rPr>
        <w:t>”</w:t>
      </w:r>
      <w:r w:rsidRPr="007F6F58">
        <w:rPr>
          <w:color w:val="000000"/>
          <w:spacing w:val="-5"/>
        </w:rPr>
        <w:t>) que interactúe con el personal de registro de SHS será informado de sus responsabilidades descritas en 101 CMR 613.08(2)(b).</w:t>
      </w:r>
    </w:p>
    <w:p w14:paraId="36F0B6F8" w14:textId="77777777" w:rsidR="002E47C6" w:rsidRPr="007F6F58" w:rsidRDefault="002E47C6" w:rsidP="00487AC7">
      <w:pPr>
        <w:pStyle w:val="ListParagraph"/>
        <w:spacing w:line="260" w:lineRule="exact"/>
        <w:rPr>
          <w:color w:val="000000"/>
          <w:spacing w:val="-5"/>
        </w:rPr>
      </w:pPr>
    </w:p>
    <w:p w14:paraId="4BA80D1A" w14:textId="58EE7116" w:rsidR="002E47C6" w:rsidRPr="007F6F58" w:rsidRDefault="002E47C6" w:rsidP="00487AC7">
      <w:pPr>
        <w:numPr>
          <w:ilvl w:val="1"/>
          <w:numId w:val="9"/>
        </w:numPr>
        <w:tabs>
          <w:tab w:val="clear" w:pos="936"/>
          <w:tab w:val="num" w:pos="900"/>
        </w:tabs>
        <w:spacing w:line="260" w:lineRule="exact"/>
        <w:ind w:left="900" w:hanging="720"/>
        <w:rPr>
          <w:color w:val="000000"/>
          <w:spacing w:val="-5"/>
        </w:rPr>
      </w:pPr>
      <w:r w:rsidRPr="007F6F58">
        <w:rPr>
          <w:color w:val="000000"/>
          <w:spacing w:val="-5"/>
        </w:rPr>
        <w:t>La política de asistencia financiera como se indica en 101 CMR 613.08(2)(b) está disponible para los servicios del hospital.  Ver anexo A para la política de asistencia financiera de SHG.</w:t>
      </w:r>
    </w:p>
    <w:p w14:paraId="090B8374" w14:textId="77777777" w:rsidR="00B149C0" w:rsidRPr="007F6F58" w:rsidRDefault="00B149C0" w:rsidP="00487AC7">
      <w:pPr>
        <w:pStyle w:val="ListParagraph"/>
        <w:spacing w:line="260" w:lineRule="exact"/>
        <w:rPr>
          <w:color w:val="000000"/>
          <w:spacing w:val="-5"/>
        </w:rPr>
      </w:pPr>
    </w:p>
    <w:p w14:paraId="19BEA6ED" w14:textId="1A57B1BE" w:rsidR="00B149C0" w:rsidRPr="007F6F58" w:rsidRDefault="00F3251B" w:rsidP="00487AC7">
      <w:pPr>
        <w:numPr>
          <w:ilvl w:val="1"/>
          <w:numId w:val="9"/>
        </w:numPr>
        <w:tabs>
          <w:tab w:val="clear" w:pos="936"/>
          <w:tab w:val="num" w:pos="900"/>
        </w:tabs>
        <w:spacing w:line="260" w:lineRule="exact"/>
        <w:ind w:left="900" w:hanging="720"/>
        <w:rPr>
          <w:color w:val="000000"/>
          <w:spacing w:val="-5"/>
        </w:rPr>
      </w:pPr>
      <w:proofErr w:type="spellStart"/>
      <w:r w:rsidRPr="007F6F58">
        <w:rPr>
          <w:color w:val="000000"/>
          <w:spacing w:val="-5"/>
        </w:rPr>
        <w:t>Health</w:t>
      </w:r>
      <w:proofErr w:type="spellEnd"/>
      <w:r w:rsidRPr="007F6F58">
        <w:rPr>
          <w:color w:val="000000"/>
          <w:spacing w:val="-5"/>
        </w:rPr>
        <w:t xml:space="preserve"> Safety Net (HSN) es un programa operado por EOHHS bajo el cual SHG es elegible para facturar el reembolso de ciertos servicios proporcionados a los pacientes de bajos ingresos.  Los pagos de HSN no están disponibles para los servicios de SPG o VNA.</w:t>
      </w:r>
    </w:p>
    <w:p w14:paraId="092CE961" w14:textId="77777777" w:rsidR="00064428" w:rsidRPr="007F6F58" w:rsidRDefault="00064428" w:rsidP="00487AC7">
      <w:pPr>
        <w:keepNext/>
        <w:numPr>
          <w:ilvl w:val="0"/>
          <w:numId w:val="9"/>
        </w:numPr>
        <w:spacing w:line="260" w:lineRule="exact"/>
        <w:rPr>
          <w:rFonts w:eastAsia="Calibri"/>
          <w:b/>
          <w:spacing w:val="-5"/>
          <w:u w:val="single"/>
        </w:rPr>
      </w:pPr>
      <w:r w:rsidRPr="007F6F58">
        <w:rPr>
          <w:b/>
          <w:color w:val="000000"/>
          <w:spacing w:val="-5"/>
          <w:u w:val="single"/>
        </w:rPr>
        <w:lastRenderedPageBreak/>
        <w:t>Estimaciones de precios – Transparencia de precios</w:t>
      </w:r>
    </w:p>
    <w:p w14:paraId="1B01D0D2" w14:textId="77777777" w:rsidR="009F5FE2" w:rsidRPr="007F6F58" w:rsidRDefault="009F5FE2" w:rsidP="00487AC7">
      <w:pPr>
        <w:keepNext/>
        <w:spacing w:line="260" w:lineRule="exact"/>
        <w:ind w:left="720" w:hanging="720"/>
        <w:rPr>
          <w:rFonts w:eastAsia="Calibri"/>
          <w:spacing w:val="-5"/>
        </w:rPr>
      </w:pPr>
    </w:p>
    <w:p w14:paraId="2FB4C851" w14:textId="6F84781E" w:rsidR="00B42D53" w:rsidRPr="007F6F58" w:rsidRDefault="008B036C" w:rsidP="00487AC7">
      <w:pPr>
        <w:pStyle w:val="Heading2"/>
        <w:numPr>
          <w:ilvl w:val="0"/>
          <w:numId w:val="26"/>
        </w:numPr>
        <w:spacing w:line="260" w:lineRule="exact"/>
        <w:rPr>
          <w:spacing w:val="-5"/>
          <w:sz w:val="24"/>
          <w:u w:val="none"/>
        </w:rPr>
      </w:pPr>
      <w:r w:rsidRPr="007F6F58">
        <w:rPr>
          <w:spacing w:val="-5"/>
          <w:sz w:val="24"/>
          <w:u w:val="none"/>
        </w:rPr>
        <w:t xml:space="preserve">Antes de una admisión, procedimiento o servicio, SHG proporcionará estimaciones de precios basadas en las cantidades permitidas para los servicios no urgentes/no emergentes según lo solicite el paciente. </w:t>
      </w:r>
    </w:p>
    <w:p w14:paraId="45759A36" w14:textId="77777777" w:rsidR="009F5FE2" w:rsidRPr="007F6F58" w:rsidRDefault="009F5FE2" w:rsidP="00487AC7">
      <w:pPr>
        <w:pStyle w:val="Heading2"/>
        <w:numPr>
          <w:ilvl w:val="0"/>
          <w:numId w:val="0"/>
        </w:numPr>
        <w:spacing w:line="260" w:lineRule="exact"/>
        <w:ind w:left="720"/>
        <w:rPr>
          <w:spacing w:val="-5"/>
          <w:sz w:val="24"/>
          <w:u w:val="none"/>
        </w:rPr>
      </w:pPr>
      <w:r w:rsidRPr="007F6F58">
        <w:rPr>
          <w:spacing w:val="-5"/>
          <w:sz w:val="24"/>
          <w:u w:val="none"/>
        </w:rPr>
        <w:t xml:space="preserve"> </w:t>
      </w:r>
    </w:p>
    <w:p w14:paraId="4BA9F673" w14:textId="75A42D70" w:rsidR="00B42D53" w:rsidRPr="007F6F58" w:rsidRDefault="00B42D53" w:rsidP="00487AC7">
      <w:pPr>
        <w:pStyle w:val="ListParagraph"/>
        <w:numPr>
          <w:ilvl w:val="0"/>
          <w:numId w:val="26"/>
        </w:numPr>
        <w:spacing w:line="260" w:lineRule="exact"/>
        <w:rPr>
          <w:spacing w:val="-5"/>
        </w:rPr>
      </w:pPr>
      <w:r w:rsidRPr="007F6F58">
        <w:rPr>
          <w:spacing w:val="-5"/>
        </w:rPr>
        <w:t xml:space="preserve">SHS intentará ayudar a cada paciente a prepararse para ser responsable de sus obligaciones estimadas de costos compartidos por los servicios que se reciben. </w:t>
      </w:r>
    </w:p>
    <w:p w14:paraId="5260806E" w14:textId="77777777" w:rsidR="00B42D53" w:rsidRPr="007F6F58" w:rsidRDefault="00B42D53" w:rsidP="00487AC7">
      <w:pPr>
        <w:spacing w:line="260" w:lineRule="exact"/>
        <w:rPr>
          <w:spacing w:val="-5"/>
        </w:rPr>
      </w:pPr>
    </w:p>
    <w:p w14:paraId="5B2BCFF4" w14:textId="138ABB96" w:rsidR="009F5FE2" w:rsidRPr="007F6F58" w:rsidRDefault="009F5FE2" w:rsidP="00487AC7">
      <w:pPr>
        <w:pStyle w:val="Heading2"/>
        <w:numPr>
          <w:ilvl w:val="0"/>
          <w:numId w:val="26"/>
        </w:numPr>
        <w:spacing w:line="260" w:lineRule="exact"/>
        <w:rPr>
          <w:spacing w:val="-5"/>
          <w:sz w:val="24"/>
          <w:u w:val="none"/>
        </w:rPr>
      </w:pPr>
      <w:r w:rsidRPr="007F6F58">
        <w:rPr>
          <w:spacing w:val="-5"/>
          <w:sz w:val="24"/>
          <w:u w:val="none"/>
        </w:rPr>
        <w:t xml:space="preserve">SHG ha hecho pública una lista de los cargos estándar del hospital por los artículos y servicios proporcionados por el hospital de acuerdo con 42 U.S.C. § 300gg-18(e).  </w:t>
      </w:r>
    </w:p>
    <w:p w14:paraId="3AD5B53C" w14:textId="77777777" w:rsidR="009F5FE2" w:rsidRPr="007F6F58" w:rsidRDefault="009F5FE2" w:rsidP="00487AC7">
      <w:pPr>
        <w:pStyle w:val="ListParagraph"/>
        <w:spacing w:line="260" w:lineRule="exact"/>
        <w:rPr>
          <w:rFonts w:ascii="Cambria" w:hAnsi="Cambria"/>
          <w:color w:val="000000"/>
          <w:spacing w:val="-5"/>
        </w:rPr>
      </w:pPr>
    </w:p>
    <w:p w14:paraId="3396805C" w14:textId="0D245197" w:rsidR="009F5FE2" w:rsidRPr="007F6F58" w:rsidRDefault="001C4F3A" w:rsidP="00487AC7">
      <w:pPr>
        <w:pStyle w:val="ListParagraph"/>
        <w:numPr>
          <w:ilvl w:val="0"/>
          <w:numId w:val="9"/>
        </w:numPr>
        <w:spacing w:line="260" w:lineRule="exact"/>
        <w:rPr>
          <w:rFonts w:eastAsia="Calibri"/>
          <w:b/>
          <w:spacing w:val="-5"/>
          <w:u w:val="single"/>
        </w:rPr>
      </w:pPr>
      <w:r w:rsidRPr="007F6F58">
        <w:rPr>
          <w:b/>
          <w:color w:val="000000"/>
          <w:spacing w:val="-5"/>
          <w:u w:val="single"/>
        </w:rPr>
        <w:t>Requisitos de SHG para pacientes de bajos ingresos:</w:t>
      </w:r>
    </w:p>
    <w:p w14:paraId="2FC720CA" w14:textId="77777777" w:rsidR="004F38C7" w:rsidRPr="007F6F58" w:rsidRDefault="004F38C7" w:rsidP="00487AC7">
      <w:pPr>
        <w:spacing w:line="260" w:lineRule="exact"/>
        <w:ind w:left="720" w:hanging="720"/>
        <w:rPr>
          <w:rFonts w:eastAsia="Calibri"/>
          <w:spacing w:val="-5"/>
        </w:rPr>
      </w:pPr>
    </w:p>
    <w:p w14:paraId="0541B749" w14:textId="63861AD5" w:rsidR="000F5B76" w:rsidRPr="007F6F58" w:rsidRDefault="000F5B76" w:rsidP="00487AC7">
      <w:pPr>
        <w:pStyle w:val="ListParagraph"/>
        <w:numPr>
          <w:ilvl w:val="0"/>
          <w:numId w:val="18"/>
        </w:numPr>
        <w:spacing w:line="260" w:lineRule="exact"/>
        <w:ind w:left="504"/>
        <w:rPr>
          <w:color w:val="000000"/>
          <w:spacing w:val="-5"/>
        </w:rPr>
      </w:pPr>
      <w:r w:rsidRPr="007F6F58">
        <w:rPr>
          <w:color w:val="000000"/>
          <w:spacing w:val="-5"/>
        </w:rPr>
        <w:t>SHG trabajará con los pacientes de bajos ingresos en la presentación de reclamos de pago por servicios con el plan de seguros correspondiente en nombre del paciente cuando sea autorizado, como se establece en la Sección D a continuación.  SHG solicitará la asignación de beneficios de cada paciente para que el pago sea remitido a SHG directamente por el plan de seguro del paciente.</w:t>
      </w:r>
    </w:p>
    <w:p w14:paraId="45210D16" w14:textId="77777777" w:rsidR="000F5B76" w:rsidRPr="007F6F58" w:rsidRDefault="000F5B76" w:rsidP="00487AC7">
      <w:pPr>
        <w:pStyle w:val="ListParagraph"/>
        <w:spacing w:line="260" w:lineRule="exact"/>
        <w:rPr>
          <w:color w:val="000000"/>
          <w:spacing w:val="-5"/>
        </w:rPr>
      </w:pPr>
    </w:p>
    <w:p w14:paraId="1FFFED38" w14:textId="7BB7B710" w:rsidR="00885C6F" w:rsidRPr="007F6F58" w:rsidRDefault="001C4F3A" w:rsidP="00487AC7">
      <w:pPr>
        <w:pStyle w:val="ListParagraph"/>
        <w:numPr>
          <w:ilvl w:val="0"/>
          <w:numId w:val="18"/>
        </w:numPr>
        <w:spacing w:line="260" w:lineRule="exact"/>
        <w:ind w:left="504"/>
        <w:rPr>
          <w:color w:val="000000"/>
          <w:spacing w:val="-5"/>
        </w:rPr>
      </w:pPr>
      <w:r w:rsidRPr="007F6F58">
        <w:rPr>
          <w:color w:val="000000"/>
          <w:spacing w:val="-5"/>
        </w:rPr>
        <w:t>Los pacientes de bajos ingresos están obligados</w:t>
      </w:r>
      <w:r w:rsidR="00E9570F">
        <w:rPr>
          <w:color w:val="000000"/>
          <w:spacing w:val="-5"/>
        </w:rPr>
        <w:t xml:space="preserve"> a asignar a </w:t>
      </w:r>
      <w:proofErr w:type="spellStart"/>
      <w:r w:rsidR="00E9570F">
        <w:rPr>
          <w:color w:val="000000"/>
          <w:spacing w:val="-5"/>
        </w:rPr>
        <w:t>MassHealth</w:t>
      </w:r>
      <w:proofErr w:type="spellEnd"/>
      <w:r w:rsidR="00E9570F">
        <w:rPr>
          <w:color w:val="000000"/>
          <w:spacing w:val="-5"/>
        </w:rPr>
        <w:t xml:space="preserve"> Agency </w:t>
      </w:r>
      <w:r w:rsidRPr="007F6F58">
        <w:rPr>
          <w:color w:val="000000"/>
          <w:spacing w:val="-5"/>
        </w:rPr>
        <w:t>(MHA) o a su agente el derecho de recuperar una cantidad igual a los beneficios de HSN provistos de las ganancias de cualquier reclamo u otro procedimiento contra un tercero;</w:t>
      </w:r>
    </w:p>
    <w:p w14:paraId="383C4A39" w14:textId="77777777" w:rsidR="00885C6F" w:rsidRPr="007F6F58" w:rsidRDefault="00885C6F" w:rsidP="00487AC7">
      <w:pPr>
        <w:pStyle w:val="ListParagraph"/>
        <w:spacing w:line="260" w:lineRule="exact"/>
        <w:ind w:left="-216"/>
        <w:rPr>
          <w:color w:val="000000"/>
          <w:spacing w:val="-5"/>
        </w:rPr>
      </w:pPr>
    </w:p>
    <w:p w14:paraId="7BF82E1E" w14:textId="26CEB503" w:rsidR="00885C6F" w:rsidRPr="007F6F58" w:rsidRDefault="001C4F3A" w:rsidP="00487AC7">
      <w:pPr>
        <w:pStyle w:val="ListParagraph"/>
        <w:numPr>
          <w:ilvl w:val="0"/>
          <w:numId w:val="18"/>
        </w:numPr>
        <w:spacing w:line="260" w:lineRule="exact"/>
        <w:ind w:left="504"/>
        <w:rPr>
          <w:color w:val="000000"/>
          <w:spacing w:val="-5"/>
        </w:rPr>
      </w:pPr>
      <w:r w:rsidRPr="007F6F58">
        <w:rPr>
          <w:color w:val="000000"/>
          <w:spacing w:val="-5"/>
        </w:rPr>
        <w:t>Los pacientes de bajos ingresos deben proporcionar información sobre el reclamo o cualquier otro procedimiento y cooperar plenamente con MHA, a menos que MHA determine que la cooperación no sería en el mejor interés de, o resultaría en un daño grave o un impedimento emocional, para el paciente de bajos ingresos;</w:t>
      </w:r>
    </w:p>
    <w:p w14:paraId="7B0E24B0" w14:textId="77777777" w:rsidR="00885C6F" w:rsidRPr="007F6F58" w:rsidRDefault="00885C6F" w:rsidP="00487AC7">
      <w:pPr>
        <w:pStyle w:val="ListParagraph"/>
        <w:spacing w:line="260" w:lineRule="exact"/>
        <w:ind w:left="-216"/>
        <w:rPr>
          <w:color w:val="000000"/>
          <w:spacing w:val="-5"/>
        </w:rPr>
      </w:pPr>
    </w:p>
    <w:p w14:paraId="68A27470" w14:textId="5A338E34" w:rsidR="00885C6F" w:rsidRPr="007F6F58" w:rsidRDefault="001C4F3A" w:rsidP="00487AC7">
      <w:pPr>
        <w:pStyle w:val="ListParagraph"/>
        <w:numPr>
          <w:ilvl w:val="0"/>
          <w:numId w:val="18"/>
        </w:numPr>
        <w:spacing w:line="260" w:lineRule="exact"/>
        <w:ind w:left="504"/>
        <w:rPr>
          <w:color w:val="000000"/>
          <w:spacing w:val="-5"/>
        </w:rPr>
      </w:pPr>
      <w:r w:rsidRPr="007F6F58">
        <w:rPr>
          <w:color w:val="000000"/>
          <w:spacing w:val="-5"/>
        </w:rPr>
        <w:t xml:space="preserve">Los pacientes de bajos ingresos notifican a la Oficina de HSN o a MH por escrito dentro de los diez (10) días de presentar cualquier reclamo, acción civil u otro procedimiento;  </w:t>
      </w:r>
    </w:p>
    <w:p w14:paraId="3B59DA4F" w14:textId="77777777" w:rsidR="00885C6F" w:rsidRPr="007F6F58" w:rsidRDefault="00885C6F" w:rsidP="00487AC7">
      <w:pPr>
        <w:spacing w:line="260" w:lineRule="exact"/>
        <w:ind w:left="-216"/>
        <w:rPr>
          <w:color w:val="000000"/>
          <w:spacing w:val="-5"/>
        </w:rPr>
      </w:pPr>
    </w:p>
    <w:p w14:paraId="0118D894" w14:textId="5F2248F0" w:rsidR="00885C6F" w:rsidRPr="007F6F58" w:rsidRDefault="001C4F3A" w:rsidP="00487AC7">
      <w:pPr>
        <w:pStyle w:val="ListParagraph"/>
        <w:numPr>
          <w:ilvl w:val="0"/>
          <w:numId w:val="18"/>
        </w:numPr>
        <w:spacing w:line="260" w:lineRule="exact"/>
        <w:ind w:left="504"/>
        <w:rPr>
          <w:color w:val="000000"/>
          <w:spacing w:val="-5"/>
        </w:rPr>
      </w:pPr>
      <w:r w:rsidRPr="007F6F58">
        <w:rPr>
          <w:color w:val="000000"/>
          <w:spacing w:val="-5"/>
        </w:rPr>
        <w:t>Los pacientes de bajos ingresos deben devolver a la Oficina de HSN el dinero recibido de un tercero por todos los servicios de HSN proporcionados en o después de la fecha del ac</w:t>
      </w:r>
      <w:r w:rsidR="00697725">
        <w:rPr>
          <w:color w:val="000000"/>
          <w:spacing w:val="-5"/>
        </w:rPr>
        <w:t xml:space="preserve">cidente u otro incidente.  </w:t>
      </w:r>
      <w:r w:rsidRPr="007F6F58">
        <w:rPr>
          <w:color w:val="000000"/>
          <w:spacing w:val="-5"/>
        </w:rPr>
        <w:t>Si el paciente de bajos ingresos está involucrado en un accidente u otro incidente después de ser elegible para HSN, el reembolso se limitará a los servicios de HSN proporcionados como resultado del accidente o incidente.</w:t>
      </w:r>
    </w:p>
    <w:p w14:paraId="31394B02" w14:textId="77777777" w:rsidR="00885C6F" w:rsidRPr="007F6F58" w:rsidRDefault="00885C6F" w:rsidP="00487AC7">
      <w:pPr>
        <w:pStyle w:val="ListParagraph"/>
        <w:spacing w:line="260" w:lineRule="exact"/>
        <w:rPr>
          <w:color w:val="000000"/>
          <w:spacing w:val="-5"/>
        </w:rPr>
      </w:pPr>
    </w:p>
    <w:p w14:paraId="7DFF49C4" w14:textId="77777777" w:rsidR="00885C6F" w:rsidRPr="007F6F58" w:rsidRDefault="00885C6F" w:rsidP="00487AC7">
      <w:pPr>
        <w:numPr>
          <w:ilvl w:val="0"/>
          <w:numId w:val="9"/>
        </w:numPr>
        <w:tabs>
          <w:tab w:val="clear" w:pos="504"/>
          <w:tab w:val="num" w:pos="540"/>
        </w:tabs>
        <w:spacing w:line="260" w:lineRule="exact"/>
        <w:ind w:left="540" w:hanging="540"/>
        <w:rPr>
          <w:b/>
          <w:color w:val="000000"/>
          <w:spacing w:val="-5"/>
          <w:u w:val="single"/>
        </w:rPr>
      </w:pPr>
      <w:r w:rsidRPr="007F6F58">
        <w:rPr>
          <w:b/>
          <w:color w:val="000000"/>
          <w:spacing w:val="-5"/>
          <w:u w:val="single"/>
        </w:rPr>
        <w:t>Presentación de reclamos al seguro</w:t>
      </w:r>
    </w:p>
    <w:p w14:paraId="45BDD8D4" w14:textId="77777777" w:rsidR="00885C6F" w:rsidRPr="007F6F58" w:rsidRDefault="00885C6F" w:rsidP="00487AC7">
      <w:pPr>
        <w:spacing w:line="260" w:lineRule="exact"/>
        <w:ind w:left="504"/>
        <w:rPr>
          <w:color w:val="000000"/>
          <w:spacing w:val="-5"/>
        </w:rPr>
      </w:pPr>
    </w:p>
    <w:p w14:paraId="1F341F8C" w14:textId="218F9E2E" w:rsidR="000F5B76" w:rsidRPr="007F6F58" w:rsidRDefault="000F5B76" w:rsidP="00487AC7">
      <w:pPr>
        <w:pStyle w:val="ListParagraph"/>
        <w:numPr>
          <w:ilvl w:val="0"/>
          <w:numId w:val="19"/>
        </w:numPr>
        <w:spacing w:line="260" w:lineRule="exact"/>
        <w:ind w:left="360"/>
        <w:rPr>
          <w:color w:val="000000"/>
          <w:spacing w:val="-5"/>
        </w:rPr>
      </w:pPr>
      <w:r w:rsidRPr="007F6F58">
        <w:rPr>
          <w:color w:val="000000"/>
          <w:spacing w:val="-5"/>
        </w:rPr>
        <w:t>SHS participa con terceros pagadores a través de la inscripción en programas de atención médica federales y estatales, acuerdos de atención administrada y acuerdos con terceros administradores.  Los planes de seguros en los que SHS no participa se consideran fuera de la red.</w:t>
      </w:r>
    </w:p>
    <w:p w14:paraId="2DAB123B" w14:textId="77777777" w:rsidR="000F5B76" w:rsidRPr="007F6F58" w:rsidRDefault="000F5B76" w:rsidP="00487AC7">
      <w:pPr>
        <w:pStyle w:val="ListParagraph"/>
        <w:spacing w:line="260" w:lineRule="exact"/>
        <w:ind w:left="-666"/>
        <w:rPr>
          <w:color w:val="000000"/>
          <w:spacing w:val="-5"/>
        </w:rPr>
      </w:pPr>
    </w:p>
    <w:p w14:paraId="16E72925" w14:textId="77777777" w:rsidR="000F5B76" w:rsidRPr="007F6F58" w:rsidRDefault="000F5B76" w:rsidP="00487AC7">
      <w:pPr>
        <w:pStyle w:val="ListParagraph"/>
        <w:numPr>
          <w:ilvl w:val="0"/>
          <w:numId w:val="19"/>
        </w:numPr>
        <w:spacing w:line="260" w:lineRule="exact"/>
        <w:ind w:left="360"/>
        <w:rPr>
          <w:color w:val="000000"/>
          <w:spacing w:val="-5"/>
        </w:rPr>
      </w:pPr>
      <w:r w:rsidRPr="007F6F58">
        <w:rPr>
          <w:color w:val="000000"/>
          <w:spacing w:val="-5"/>
        </w:rPr>
        <w:t xml:space="preserve">SHS cumplirá con los requisitos de facturación y autorización de la aseguradora y honrará todos los acuerdos contractuales con terceros. </w:t>
      </w:r>
    </w:p>
    <w:p w14:paraId="3D221D66" w14:textId="77777777" w:rsidR="000F5B76" w:rsidRPr="007F6F58" w:rsidRDefault="000F5B76" w:rsidP="00487AC7">
      <w:pPr>
        <w:tabs>
          <w:tab w:val="left" w:pos="540"/>
        </w:tabs>
        <w:spacing w:line="260" w:lineRule="exact"/>
        <w:rPr>
          <w:color w:val="000000"/>
          <w:spacing w:val="-5"/>
        </w:rPr>
      </w:pPr>
    </w:p>
    <w:p w14:paraId="60CEAB4B" w14:textId="1BA2FDB1" w:rsidR="000F5B76" w:rsidRPr="007F6F58" w:rsidRDefault="000F5B76" w:rsidP="00487AC7">
      <w:pPr>
        <w:pStyle w:val="ListParagraph"/>
        <w:numPr>
          <w:ilvl w:val="0"/>
          <w:numId w:val="19"/>
        </w:numPr>
        <w:spacing w:line="260" w:lineRule="exact"/>
        <w:ind w:left="360"/>
        <w:rPr>
          <w:color w:val="000000"/>
          <w:spacing w:val="-5"/>
        </w:rPr>
      </w:pPr>
      <w:r w:rsidRPr="007F6F58">
        <w:rPr>
          <w:color w:val="000000"/>
          <w:spacing w:val="-5"/>
        </w:rPr>
        <w:t xml:space="preserve">SHS facturará a los pacientes por las cantidades de costos compartidos según lo definido y permitido por el seguro del paciente, tales como copagos, deducibles, coaseguros o cantidades adeudadas por servicios no cubiertos según lo definido por el plan de seguro como responsabilidad del paciente.  </w:t>
      </w:r>
    </w:p>
    <w:p w14:paraId="33A9458D" w14:textId="189EE7B4" w:rsidR="00BF3F23" w:rsidRPr="007F6F58" w:rsidRDefault="00AE7377" w:rsidP="00487AC7">
      <w:pPr>
        <w:pStyle w:val="ListParagraph"/>
        <w:numPr>
          <w:ilvl w:val="0"/>
          <w:numId w:val="19"/>
        </w:numPr>
        <w:spacing w:line="260" w:lineRule="exact"/>
        <w:ind w:left="360"/>
        <w:rPr>
          <w:color w:val="000000"/>
          <w:spacing w:val="-5"/>
        </w:rPr>
      </w:pPr>
      <w:r w:rsidRPr="007F6F58">
        <w:rPr>
          <w:color w:val="000000"/>
          <w:spacing w:val="-5"/>
        </w:rPr>
        <w:lastRenderedPageBreak/>
        <w:t xml:space="preserve">SHS apelará las reclamaciones denegadas cuando el servicio sea pagadero en su totalidad o en parte por el plan de seguros. </w:t>
      </w:r>
    </w:p>
    <w:p w14:paraId="7FDDFD86" w14:textId="77777777" w:rsidR="00BF3F23" w:rsidRPr="007F6F58" w:rsidRDefault="00BF3F23" w:rsidP="00487AC7">
      <w:pPr>
        <w:pStyle w:val="ListParagraph"/>
        <w:tabs>
          <w:tab w:val="left" w:pos="540"/>
        </w:tabs>
        <w:spacing w:line="260" w:lineRule="exact"/>
        <w:ind w:left="-180"/>
        <w:rPr>
          <w:color w:val="000000"/>
          <w:spacing w:val="-5"/>
        </w:rPr>
      </w:pPr>
    </w:p>
    <w:p w14:paraId="0253EC94" w14:textId="15D680C9" w:rsidR="00BF3F23" w:rsidRPr="007F6F58" w:rsidRDefault="00885C6F" w:rsidP="00487AC7">
      <w:pPr>
        <w:pStyle w:val="ListParagraph"/>
        <w:numPr>
          <w:ilvl w:val="0"/>
          <w:numId w:val="19"/>
        </w:numPr>
        <w:spacing w:line="260" w:lineRule="exact"/>
        <w:ind w:left="360"/>
        <w:rPr>
          <w:color w:val="000000"/>
          <w:spacing w:val="-5"/>
        </w:rPr>
      </w:pPr>
      <w:r w:rsidRPr="007F6F58">
        <w:rPr>
          <w:color w:val="000000"/>
          <w:spacing w:val="-5"/>
        </w:rPr>
        <w:t>Si la denegación de pago de un plan de seguros es el resultado de un error de facturación o administrativo de SHS, SHS no buscará el pago del paciente, HSN, u otro tercero.</w:t>
      </w:r>
    </w:p>
    <w:p w14:paraId="68A796A5" w14:textId="77777777" w:rsidR="00BF3F23" w:rsidRPr="007F6F58" w:rsidRDefault="00BF3F23" w:rsidP="00487AC7">
      <w:pPr>
        <w:pStyle w:val="ListParagraph"/>
        <w:tabs>
          <w:tab w:val="left" w:pos="540"/>
        </w:tabs>
        <w:spacing w:line="260" w:lineRule="exact"/>
        <w:ind w:left="-180"/>
        <w:rPr>
          <w:color w:val="000000"/>
          <w:spacing w:val="-5"/>
        </w:rPr>
      </w:pPr>
    </w:p>
    <w:p w14:paraId="004B3095" w14:textId="4EAFEA12" w:rsidR="00885C6F" w:rsidRPr="007F6F58" w:rsidRDefault="00AE7377" w:rsidP="00487AC7">
      <w:pPr>
        <w:pStyle w:val="ListParagraph"/>
        <w:numPr>
          <w:ilvl w:val="0"/>
          <w:numId w:val="19"/>
        </w:numPr>
        <w:spacing w:line="260" w:lineRule="exact"/>
        <w:ind w:left="360"/>
        <w:rPr>
          <w:color w:val="000000"/>
          <w:spacing w:val="-5"/>
        </w:rPr>
      </w:pPr>
      <w:r w:rsidRPr="007F6F58">
        <w:rPr>
          <w:color w:val="000000"/>
          <w:spacing w:val="-5"/>
        </w:rPr>
        <w:t xml:space="preserve">SHS devolverá cualquier pago recibido de EOHHS bajo el programa HSN al recibir el pago de un tercero responsable del pago. </w:t>
      </w:r>
    </w:p>
    <w:p w14:paraId="5F93792D" w14:textId="77777777" w:rsidR="009C0790" w:rsidRPr="007F6F58" w:rsidRDefault="009C0790" w:rsidP="00487AC7">
      <w:pPr>
        <w:pStyle w:val="ListParagraph"/>
        <w:tabs>
          <w:tab w:val="left" w:pos="540"/>
        </w:tabs>
        <w:spacing w:line="260" w:lineRule="exact"/>
        <w:ind w:left="540" w:hanging="360"/>
        <w:rPr>
          <w:rFonts w:ascii="Cambria" w:hAnsi="Cambria"/>
          <w:color w:val="000000"/>
          <w:spacing w:val="-5"/>
        </w:rPr>
      </w:pPr>
    </w:p>
    <w:p w14:paraId="379CA444" w14:textId="77777777" w:rsidR="00885C6F" w:rsidRPr="007F6F58" w:rsidRDefault="002B43D9" w:rsidP="00487AC7">
      <w:pPr>
        <w:spacing w:line="260" w:lineRule="exact"/>
        <w:rPr>
          <w:color w:val="000000"/>
          <w:spacing w:val="-5"/>
        </w:rPr>
      </w:pPr>
      <w:r w:rsidRPr="007F6F58">
        <w:rPr>
          <w:b/>
          <w:color w:val="000000"/>
          <w:spacing w:val="-5"/>
        </w:rPr>
        <w:t xml:space="preserve">II.    </w:t>
      </w:r>
      <w:r w:rsidRPr="007F6F58">
        <w:rPr>
          <w:b/>
          <w:smallCaps/>
          <w:color w:val="000000"/>
          <w:spacing w:val="-5"/>
        </w:rPr>
        <w:t>Pagos</w:t>
      </w:r>
    </w:p>
    <w:p w14:paraId="0F56A2AB" w14:textId="77777777" w:rsidR="00885C6F" w:rsidRPr="00991C25" w:rsidRDefault="00885C6F" w:rsidP="00487AC7">
      <w:pPr>
        <w:spacing w:line="260" w:lineRule="exact"/>
        <w:rPr>
          <w:color w:val="000000"/>
          <w:spacing w:val="-5"/>
        </w:rPr>
      </w:pPr>
    </w:p>
    <w:p w14:paraId="09AB250F" w14:textId="77777777" w:rsidR="00885C6F" w:rsidRPr="007F6F58" w:rsidRDefault="00885C6F" w:rsidP="00487AC7">
      <w:pPr>
        <w:pStyle w:val="ListParagraph"/>
        <w:numPr>
          <w:ilvl w:val="0"/>
          <w:numId w:val="21"/>
        </w:numPr>
        <w:spacing w:line="260" w:lineRule="exact"/>
        <w:ind w:left="360"/>
        <w:rPr>
          <w:b/>
          <w:bCs/>
          <w:color w:val="000000"/>
          <w:spacing w:val="-5"/>
          <w:u w:val="single"/>
        </w:rPr>
      </w:pPr>
      <w:r w:rsidRPr="007F6F58">
        <w:rPr>
          <w:b/>
          <w:color w:val="000000"/>
          <w:spacing w:val="-5"/>
          <w:u w:val="single"/>
        </w:rPr>
        <w:t>Expectativas de pago</w:t>
      </w:r>
    </w:p>
    <w:p w14:paraId="05B96700" w14:textId="77777777" w:rsidR="00885C6F" w:rsidRPr="007F6F58" w:rsidRDefault="00885C6F" w:rsidP="00487AC7">
      <w:pPr>
        <w:spacing w:line="260" w:lineRule="exact"/>
        <w:ind w:left="-300"/>
        <w:rPr>
          <w:bCs/>
          <w:color w:val="000000"/>
          <w:spacing w:val="-5"/>
        </w:rPr>
      </w:pPr>
    </w:p>
    <w:p w14:paraId="34B12778" w14:textId="534D6E37" w:rsidR="00B11C8C" w:rsidRPr="007F6F58" w:rsidRDefault="00885C6F" w:rsidP="00487AC7">
      <w:pPr>
        <w:pStyle w:val="ListParagraph"/>
        <w:numPr>
          <w:ilvl w:val="0"/>
          <w:numId w:val="22"/>
        </w:numPr>
        <w:spacing w:line="260" w:lineRule="exact"/>
        <w:rPr>
          <w:bCs/>
          <w:color w:val="000000"/>
          <w:spacing w:val="-5"/>
        </w:rPr>
      </w:pPr>
      <w:r w:rsidRPr="007F6F58">
        <w:rPr>
          <w:color w:val="000000"/>
          <w:spacing w:val="-5"/>
        </w:rPr>
        <w:t xml:space="preserve">Se espera que los pacientes o sus responsables paguen su responsabilidad por los servicios de atención de salud prestados, excepto en los casos previstos en la presente póliza.  </w:t>
      </w:r>
    </w:p>
    <w:p w14:paraId="0B43F07A" w14:textId="77777777" w:rsidR="00B11C8C" w:rsidRPr="007F6F58" w:rsidRDefault="00B11C8C" w:rsidP="00487AC7">
      <w:pPr>
        <w:pStyle w:val="Heading2"/>
        <w:numPr>
          <w:ilvl w:val="0"/>
          <w:numId w:val="0"/>
        </w:numPr>
        <w:spacing w:line="260" w:lineRule="exact"/>
        <w:ind w:left="540"/>
        <w:rPr>
          <w:spacing w:val="-5"/>
          <w:sz w:val="24"/>
        </w:rPr>
      </w:pPr>
    </w:p>
    <w:p w14:paraId="486D2F8B" w14:textId="20D869F0" w:rsidR="00B702D7" w:rsidRPr="007F6F58" w:rsidRDefault="00B11C8C" w:rsidP="00487AC7">
      <w:pPr>
        <w:pStyle w:val="ListParagraph"/>
        <w:numPr>
          <w:ilvl w:val="0"/>
          <w:numId w:val="22"/>
        </w:numPr>
        <w:spacing w:line="260" w:lineRule="exact"/>
        <w:rPr>
          <w:bCs/>
          <w:color w:val="000000"/>
          <w:spacing w:val="-5"/>
        </w:rPr>
      </w:pPr>
      <w:r w:rsidRPr="007F6F58">
        <w:rPr>
          <w:color w:val="000000"/>
          <w:spacing w:val="-5"/>
        </w:rPr>
        <w:t xml:space="preserve">Los copagos y/o las responsabilidades definidas de participación en los gastos del paciente se pagarán en el momento del servicio, si se conocen, y se solicitará que se paguen en el momento del servicio o una vez que se conozcan.  </w:t>
      </w:r>
    </w:p>
    <w:p w14:paraId="1FC5BC51" w14:textId="77777777" w:rsidR="00B702D7" w:rsidRPr="007F6F58" w:rsidRDefault="00B702D7" w:rsidP="00487AC7">
      <w:pPr>
        <w:pStyle w:val="ListParagraph"/>
        <w:spacing w:line="260" w:lineRule="exact"/>
        <w:rPr>
          <w:color w:val="000000"/>
          <w:spacing w:val="-5"/>
        </w:rPr>
      </w:pPr>
    </w:p>
    <w:p w14:paraId="7FD63A93" w14:textId="29A22E73" w:rsidR="00CE4907" w:rsidRPr="007F6F58" w:rsidRDefault="00CE4907" w:rsidP="00487AC7">
      <w:pPr>
        <w:pStyle w:val="ListParagraph"/>
        <w:numPr>
          <w:ilvl w:val="0"/>
          <w:numId w:val="22"/>
        </w:numPr>
        <w:spacing w:line="260" w:lineRule="exact"/>
        <w:rPr>
          <w:bCs/>
          <w:color w:val="000000"/>
          <w:spacing w:val="-5"/>
        </w:rPr>
      </w:pPr>
      <w:r w:rsidRPr="007F6F58">
        <w:rPr>
          <w:color w:val="000000"/>
          <w:spacing w:val="-5"/>
        </w:rPr>
        <w:t>SHS se reserva el derecho de posponer ciertos servicios no urgentes/no urgentes que serán prestados por SPG o VNA hasta el momento en que la responsabilidad del paciente pueda ser pagada en el momento del servicio en ciertas circunstancias.  Si SHG busca posponer el cuidado a ser rendido por SHG a un paciente basado en la responsabilidad no pagada del paciente relacionada con el tratamiento previo, SHG proveerá al individuo con información acerca de su FAP, junto con una fecha límite más allá de la cual SHG no aceptará un proceso de la solicitud de FAP presentada (la cual no será dentro de los 30 días después de la fecha en que la notificación al individuo sea proporcionada o 240 días después de la fecha de la primera notificación post-alta para el cuidado previamente proporcionado).</w:t>
      </w:r>
    </w:p>
    <w:p w14:paraId="589220B9" w14:textId="77777777" w:rsidR="00CE4907" w:rsidRPr="007F6F58" w:rsidRDefault="00CE4907" w:rsidP="00487AC7">
      <w:pPr>
        <w:pStyle w:val="ListParagraph"/>
        <w:spacing w:line="260" w:lineRule="exact"/>
        <w:rPr>
          <w:color w:val="000000"/>
          <w:spacing w:val="-5"/>
        </w:rPr>
      </w:pPr>
    </w:p>
    <w:p w14:paraId="78FE34D7" w14:textId="77777777" w:rsidR="002B43D9" w:rsidRPr="007F6F58" w:rsidRDefault="002B43D9" w:rsidP="00487AC7">
      <w:pPr>
        <w:pStyle w:val="ListParagraph"/>
        <w:numPr>
          <w:ilvl w:val="0"/>
          <w:numId w:val="22"/>
        </w:numPr>
        <w:spacing w:line="260" w:lineRule="exact"/>
        <w:rPr>
          <w:bCs/>
          <w:color w:val="000000"/>
          <w:spacing w:val="-5"/>
        </w:rPr>
      </w:pPr>
      <w:r w:rsidRPr="007F6F58">
        <w:rPr>
          <w:color w:val="000000"/>
          <w:spacing w:val="-5"/>
        </w:rPr>
        <w:t xml:space="preserve">Los pagos se aceptan en varios medios; es decir, </w:t>
      </w:r>
      <w:proofErr w:type="spellStart"/>
      <w:r w:rsidRPr="007F6F58">
        <w:rPr>
          <w:color w:val="000000"/>
          <w:spacing w:val="-5"/>
        </w:rPr>
        <w:t>MyChart</w:t>
      </w:r>
      <w:proofErr w:type="spellEnd"/>
      <w:r w:rsidRPr="007F6F58">
        <w:rPr>
          <w:color w:val="000000"/>
          <w:spacing w:val="-5"/>
        </w:rPr>
        <w:t xml:space="preserve">, tarjeta bancaria de débito, tarjeta de crédito, cheque, efectivo y tarjetas de beneficios flexibles.  El método preferido es a través del portal de pacientes de </w:t>
      </w:r>
      <w:proofErr w:type="spellStart"/>
      <w:r w:rsidRPr="007F6F58">
        <w:rPr>
          <w:color w:val="000000"/>
          <w:spacing w:val="-5"/>
        </w:rPr>
        <w:t>MyChart</w:t>
      </w:r>
      <w:proofErr w:type="spellEnd"/>
      <w:r w:rsidRPr="007F6F58">
        <w:rPr>
          <w:color w:val="000000"/>
          <w:spacing w:val="-5"/>
        </w:rPr>
        <w:t xml:space="preserve"> que permite almacenar la información de pago para los requisitos de pago.</w:t>
      </w:r>
    </w:p>
    <w:p w14:paraId="4B3E21ED" w14:textId="77777777" w:rsidR="00885C6F" w:rsidRPr="007F6F58" w:rsidRDefault="00885C6F" w:rsidP="00487AC7">
      <w:pPr>
        <w:spacing w:line="260" w:lineRule="exact"/>
        <w:ind w:left="204"/>
        <w:rPr>
          <w:bCs/>
          <w:color w:val="000000"/>
          <w:spacing w:val="-5"/>
        </w:rPr>
      </w:pPr>
    </w:p>
    <w:p w14:paraId="29A86AD3" w14:textId="77777777" w:rsidR="00885C6F" w:rsidRPr="007F6F58" w:rsidRDefault="00885C6F" w:rsidP="00487AC7">
      <w:pPr>
        <w:pStyle w:val="ListParagraph"/>
        <w:numPr>
          <w:ilvl w:val="0"/>
          <w:numId w:val="21"/>
        </w:numPr>
        <w:spacing w:line="260" w:lineRule="exact"/>
        <w:ind w:left="360"/>
        <w:rPr>
          <w:b/>
          <w:bCs/>
          <w:color w:val="000000"/>
          <w:spacing w:val="-5"/>
          <w:u w:val="single"/>
        </w:rPr>
      </w:pPr>
      <w:r w:rsidRPr="007F6F58">
        <w:rPr>
          <w:b/>
          <w:color w:val="000000"/>
          <w:spacing w:val="-5"/>
          <w:u w:val="single"/>
        </w:rPr>
        <w:t>Depósitos</w:t>
      </w:r>
    </w:p>
    <w:p w14:paraId="3D16DF71" w14:textId="77777777" w:rsidR="00885C6F" w:rsidRPr="007F6F58" w:rsidRDefault="00885C6F" w:rsidP="00487AC7">
      <w:pPr>
        <w:spacing w:line="260" w:lineRule="exact"/>
        <w:rPr>
          <w:bCs/>
          <w:color w:val="000000"/>
          <w:spacing w:val="-5"/>
        </w:rPr>
      </w:pPr>
    </w:p>
    <w:p w14:paraId="3186D422" w14:textId="53A3BE0B" w:rsidR="00885C6F" w:rsidRPr="007F6F58" w:rsidRDefault="00885C6F" w:rsidP="00487AC7">
      <w:pPr>
        <w:pStyle w:val="BodyText"/>
        <w:numPr>
          <w:ilvl w:val="0"/>
          <w:numId w:val="23"/>
        </w:numPr>
        <w:spacing w:line="260" w:lineRule="exact"/>
        <w:rPr>
          <w:bCs/>
          <w:color w:val="000000"/>
          <w:spacing w:val="-5"/>
          <w:sz w:val="24"/>
          <w:szCs w:val="24"/>
        </w:rPr>
      </w:pPr>
      <w:r w:rsidRPr="007F6F58">
        <w:rPr>
          <w:color w:val="000000"/>
          <w:spacing w:val="-5"/>
          <w:sz w:val="24"/>
        </w:rPr>
        <w:t xml:space="preserve">SHS se reserva el derecho de solicitar el pago de depósitos para los servicios no urgentes/no emergentes que se espera que resulten en responsabilidad del paciente.  Los pacientes que expresen una incapacidad para cumplir con los requisitos de pago o depósito o que tengan saldos previos que indiquen una incapacidad para cumplir con los requisitos de depósito serán remitidos al Departamento de Servicios Financieros para el Paciente para iniciar una solicitud de Admisión Común lo antes posible en el proceso de registro o durante el proceso de cobro. </w:t>
      </w:r>
    </w:p>
    <w:p w14:paraId="1C84ED47" w14:textId="77777777" w:rsidR="00885C6F" w:rsidRPr="007F6F58" w:rsidRDefault="00885C6F" w:rsidP="00487AC7">
      <w:pPr>
        <w:spacing w:line="260" w:lineRule="exact"/>
        <w:rPr>
          <w:bCs/>
          <w:color w:val="000000"/>
          <w:spacing w:val="-5"/>
        </w:rPr>
      </w:pPr>
    </w:p>
    <w:p w14:paraId="328F76DD" w14:textId="509F1B2C" w:rsidR="00885C6F" w:rsidRPr="007F6F58" w:rsidRDefault="00A1102E" w:rsidP="00487AC7">
      <w:pPr>
        <w:pStyle w:val="ListParagraph"/>
        <w:numPr>
          <w:ilvl w:val="0"/>
          <w:numId w:val="23"/>
        </w:numPr>
        <w:spacing w:line="260" w:lineRule="exact"/>
        <w:rPr>
          <w:bCs/>
          <w:color w:val="000000"/>
          <w:spacing w:val="-5"/>
        </w:rPr>
      </w:pPr>
      <w:r w:rsidRPr="007F6F58">
        <w:rPr>
          <w:color w:val="000000"/>
          <w:spacing w:val="-5"/>
        </w:rPr>
        <w:t>El SHS no requerirá depósitos previos a la admisión y/o al tratamiento de pacientes que requieran atención de emergencia o que se determine que son pacientes de bajos ingresos.</w:t>
      </w:r>
    </w:p>
    <w:p w14:paraId="44CFCD5C" w14:textId="77777777" w:rsidR="00885C6F" w:rsidRPr="007F6F58" w:rsidRDefault="00885C6F" w:rsidP="00487AC7">
      <w:pPr>
        <w:spacing w:line="260" w:lineRule="exact"/>
        <w:ind w:left="-180"/>
        <w:rPr>
          <w:bCs/>
          <w:color w:val="000000"/>
          <w:spacing w:val="-5"/>
        </w:rPr>
      </w:pPr>
    </w:p>
    <w:p w14:paraId="73060A6D" w14:textId="77777777" w:rsidR="00885C6F" w:rsidRPr="007F6F58" w:rsidRDefault="00A1102E" w:rsidP="00487AC7">
      <w:pPr>
        <w:pStyle w:val="ListParagraph"/>
        <w:keepLines/>
        <w:numPr>
          <w:ilvl w:val="0"/>
          <w:numId w:val="23"/>
        </w:numPr>
        <w:spacing w:line="260" w:lineRule="exact"/>
        <w:rPr>
          <w:bCs/>
          <w:color w:val="000000"/>
          <w:spacing w:val="-5"/>
        </w:rPr>
      </w:pPr>
      <w:r w:rsidRPr="007F6F58">
        <w:rPr>
          <w:color w:val="000000"/>
          <w:spacing w:val="-5"/>
        </w:rPr>
        <w:t xml:space="preserve">El SHS puede solicitar un depósito a las personas que se determine que son pacientes de bajos ingresos.  Dichos depósitos se limitarán al 20 % de la cantidad deducible, hasta un máximo de $500. Todos los saldos restantes están sujetos a las condiciones del plan de pago establecidas en 101 CMR 613.08(1)(f).  </w:t>
      </w:r>
    </w:p>
    <w:p w14:paraId="49CAE6CA" w14:textId="77777777" w:rsidR="00885C6F" w:rsidRPr="007F6F58" w:rsidRDefault="00885C6F" w:rsidP="00487AC7">
      <w:pPr>
        <w:spacing w:line="260" w:lineRule="exact"/>
        <w:ind w:left="-180"/>
        <w:rPr>
          <w:bCs/>
          <w:color w:val="000000"/>
          <w:spacing w:val="-5"/>
        </w:rPr>
      </w:pPr>
    </w:p>
    <w:p w14:paraId="0804C281" w14:textId="77777777" w:rsidR="004E6700" w:rsidRPr="007F6F58" w:rsidRDefault="00A1102E" w:rsidP="00487AC7">
      <w:pPr>
        <w:pStyle w:val="ListParagraph"/>
        <w:numPr>
          <w:ilvl w:val="0"/>
          <w:numId w:val="23"/>
        </w:numPr>
        <w:spacing w:line="260" w:lineRule="exact"/>
        <w:rPr>
          <w:bCs/>
          <w:color w:val="000000"/>
          <w:spacing w:val="-5"/>
        </w:rPr>
      </w:pPr>
      <w:r w:rsidRPr="007F6F58">
        <w:rPr>
          <w:color w:val="000000"/>
          <w:spacing w:val="-5"/>
        </w:rPr>
        <w:t xml:space="preserve">SHS puede solicitar un depósito de los pacientes elegibles para Medical </w:t>
      </w:r>
      <w:proofErr w:type="spellStart"/>
      <w:r w:rsidRPr="007F6F58">
        <w:rPr>
          <w:color w:val="000000"/>
          <w:spacing w:val="-5"/>
        </w:rPr>
        <w:t>Hardship</w:t>
      </w:r>
      <w:proofErr w:type="spellEnd"/>
      <w:r w:rsidRPr="007F6F58">
        <w:rPr>
          <w:color w:val="000000"/>
          <w:spacing w:val="-5"/>
        </w:rPr>
        <w:t xml:space="preserve"> (Dificultades Médicas).  Los depósitos se limitarán al 20 % de la contribución por Dificultades Médicas, hasta un máximo de $1,000. Todos los saldos restantes están sujetos a las condiciones del plan de pago establecidas en 101 CMR 613.08(1)(f).</w:t>
      </w:r>
      <w:r w:rsidRPr="007F6F58">
        <w:rPr>
          <w:b/>
          <w:color w:val="000000"/>
          <w:spacing w:val="-5"/>
        </w:rPr>
        <w:t xml:space="preserve">  </w:t>
      </w:r>
    </w:p>
    <w:p w14:paraId="39A690A7" w14:textId="77777777" w:rsidR="00885C6F" w:rsidRPr="007F6F58" w:rsidRDefault="00885C6F" w:rsidP="00487AC7">
      <w:pPr>
        <w:pStyle w:val="ListParagraph"/>
        <w:spacing w:line="260" w:lineRule="exact"/>
        <w:ind w:left="-180"/>
        <w:rPr>
          <w:bCs/>
          <w:color w:val="000000"/>
          <w:spacing w:val="-5"/>
        </w:rPr>
      </w:pPr>
    </w:p>
    <w:p w14:paraId="46081C93" w14:textId="06391AAD" w:rsidR="00885C6F" w:rsidRPr="007F6F58" w:rsidRDefault="00A1102E" w:rsidP="00487AC7">
      <w:pPr>
        <w:pStyle w:val="ListParagraph"/>
        <w:numPr>
          <w:ilvl w:val="0"/>
          <w:numId w:val="23"/>
        </w:numPr>
        <w:spacing w:line="260" w:lineRule="exact"/>
        <w:rPr>
          <w:color w:val="000000"/>
          <w:spacing w:val="-5"/>
        </w:rPr>
      </w:pPr>
      <w:r w:rsidRPr="007F6F58">
        <w:rPr>
          <w:color w:val="000000"/>
          <w:spacing w:val="-5"/>
        </w:rPr>
        <w:t xml:space="preserve">SHS puede facturar a los pacientes de bajos ingresos por servicios que no sean servicios de salud reembolsables proporcionados a petición del paciente y por los cuales éste haya aceptado ser responsable, excepto por reclamaciones relacionadas con errores médicos o reclamaciones denegadas por la aseguradora principal del paciente debido a un error administrativo o de facturación.  SHS debe obtener el consentimiento escrito del paciente para que se le facturen los servicios prestados. </w:t>
      </w:r>
    </w:p>
    <w:p w14:paraId="57C10463" w14:textId="77777777" w:rsidR="00050664" w:rsidRPr="007F6F58" w:rsidRDefault="00050664" w:rsidP="00487AC7">
      <w:pPr>
        <w:pStyle w:val="ListParagraph"/>
        <w:spacing w:line="260" w:lineRule="exact"/>
        <w:rPr>
          <w:color w:val="000000"/>
          <w:spacing w:val="-5"/>
        </w:rPr>
      </w:pPr>
    </w:p>
    <w:p w14:paraId="60024DB6" w14:textId="29355F75" w:rsidR="00885C6F" w:rsidRPr="007F6F58" w:rsidRDefault="00885C6F" w:rsidP="00487AC7">
      <w:pPr>
        <w:pStyle w:val="Heading2"/>
        <w:numPr>
          <w:ilvl w:val="0"/>
          <w:numId w:val="21"/>
        </w:numPr>
        <w:spacing w:line="260" w:lineRule="exact"/>
        <w:ind w:left="360"/>
        <w:rPr>
          <w:b/>
          <w:color w:val="000000"/>
          <w:spacing w:val="-5"/>
          <w:sz w:val="24"/>
        </w:rPr>
      </w:pPr>
      <w:r w:rsidRPr="007F6F58">
        <w:rPr>
          <w:b/>
          <w:color w:val="000000"/>
          <w:spacing w:val="-5"/>
          <w:sz w:val="24"/>
        </w:rPr>
        <w:t>Planes de pago</w:t>
      </w:r>
    </w:p>
    <w:p w14:paraId="536C1C07" w14:textId="77777777" w:rsidR="00885C6F" w:rsidRPr="007F6F58" w:rsidRDefault="00885C6F" w:rsidP="00487AC7">
      <w:pPr>
        <w:spacing w:line="260" w:lineRule="exact"/>
        <w:rPr>
          <w:color w:val="000000"/>
          <w:spacing w:val="-5"/>
        </w:rPr>
      </w:pPr>
    </w:p>
    <w:p w14:paraId="757C1B5F" w14:textId="1B70B9E9" w:rsidR="00885C6F" w:rsidRPr="007F6F58" w:rsidRDefault="00A1102E" w:rsidP="00487AC7">
      <w:pPr>
        <w:pStyle w:val="BodyText"/>
        <w:numPr>
          <w:ilvl w:val="0"/>
          <w:numId w:val="25"/>
        </w:numPr>
        <w:spacing w:line="260" w:lineRule="exact"/>
        <w:rPr>
          <w:color w:val="000000"/>
          <w:spacing w:val="-5"/>
          <w:sz w:val="24"/>
          <w:szCs w:val="24"/>
        </w:rPr>
      </w:pPr>
      <w:r w:rsidRPr="007F6F58">
        <w:rPr>
          <w:color w:val="000000"/>
          <w:spacing w:val="-5"/>
          <w:sz w:val="24"/>
        </w:rPr>
        <w:t xml:space="preserve">SHS no requerirá un plan de pago para los pacientes que estén totalmente exentos de la acción de </w:t>
      </w:r>
      <w:proofErr w:type="spellStart"/>
      <w:r w:rsidRPr="007F6F58">
        <w:rPr>
          <w:color w:val="000000"/>
          <w:spacing w:val="-5"/>
          <w:sz w:val="24"/>
        </w:rPr>
        <w:t>cobro</w:t>
      </w:r>
      <w:r w:rsidR="00487AC7">
        <w:rPr>
          <w:color w:val="000000"/>
          <w:spacing w:val="-5"/>
          <w:sz w:val="24"/>
        </w:rPr>
        <w:t>z</w:t>
      </w:r>
      <w:proofErr w:type="spellEnd"/>
      <w:r w:rsidRPr="007F6F58">
        <w:rPr>
          <w:color w:val="000000"/>
          <w:spacing w:val="-5"/>
          <w:sz w:val="24"/>
        </w:rPr>
        <w:t>.</w:t>
      </w:r>
      <w:r w:rsidRPr="007F6F58">
        <w:rPr>
          <w:b/>
          <w:color w:val="000000"/>
          <w:spacing w:val="-5"/>
          <w:sz w:val="24"/>
        </w:rPr>
        <w:t xml:space="preserve">   </w:t>
      </w:r>
    </w:p>
    <w:p w14:paraId="3532FBC1" w14:textId="77777777" w:rsidR="00FB410D" w:rsidRPr="007F6F58" w:rsidRDefault="00FB410D" w:rsidP="00487AC7">
      <w:pPr>
        <w:pStyle w:val="BodyText"/>
        <w:spacing w:line="260" w:lineRule="exact"/>
        <w:ind w:left="540"/>
        <w:rPr>
          <w:color w:val="000000"/>
          <w:spacing w:val="-5"/>
          <w:sz w:val="24"/>
          <w:szCs w:val="24"/>
        </w:rPr>
      </w:pPr>
    </w:p>
    <w:p w14:paraId="7FF0F8D8" w14:textId="199878AD" w:rsidR="00885C6F" w:rsidRPr="007F6F58" w:rsidRDefault="00885C6F" w:rsidP="00487AC7">
      <w:pPr>
        <w:pStyle w:val="BodyText"/>
        <w:numPr>
          <w:ilvl w:val="0"/>
          <w:numId w:val="25"/>
        </w:numPr>
        <w:spacing w:line="260" w:lineRule="exact"/>
        <w:rPr>
          <w:color w:val="000000"/>
          <w:spacing w:val="-5"/>
          <w:sz w:val="24"/>
          <w:szCs w:val="24"/>
        </w:rPr>
      </w:pPr>
      <w:r w:rsidRPr="007F6F58">
        <w:rPr>
          <w:color w:val="000000"/>
          <w:spacing w:val="-5"/>
          <w:sz w:val="24"/>
        </w:rPr>
        <w:t>Las cuentas que no estén totalmente exentas de la acción de cobro se considerarán elegibles para un plan de pago cuando no exista la posibilidad de un reembolso completo por parte de terceros y una solicitud completa de Bajos Ingresos o Dificultades Médicas indique un ingreso bruto superior al 150 % de las pautas federales de pobreza.</w:t>
      </w:r>
    </w:p>
    <w:p w14:paraId="5A877F96" w14:textId="77777777" w:rsidR="00885C6F" w:rsidRPr="007F6F58" w:rsidRDefault="00885C6F" w:rsidP="00487AC7">
      <w:pPr>
        <w:spacing w:line="260" w:lineRule="exact"/>
        <w:ind w:left="540"/>
        <w:rPr>
          <w:b/>
          <w:color w:val="000000"/>
          <w:spacing w:val="-5"/>
        </w:rPr>
      </w:pPr>
    </w:p>
    <w:p w14:paraId="1B3686EB" w14:textId="4D215241" w:rsidR="00885C6F" w:rsidRPr="007F6F58" w:rsidRDefault="00B702D7" w:rsidP="00487AC7">
      <w:pPr>
        <w:pStyle w:val="ListParagraph"/>
        <w:numPr>
          <w:ilvl w:val="0"/>
          <w:numId w:val="25"/>
        </w:numPr>
        <w:spacing w:line="260" w:lineRule="exact"/>
        <w:rPr>
          <w:color w:val="000000"/>
          <w:spacing w:val="-5"/>
        </w:rPr>
      </w:pPr>
      <w:r w:rsidRPr="007F6F58">
        <w:rPr>
          <w:color w:val="000000"/>
          <w:spacing w:val="-5"/>
        </w:rPr>
        <w:t xml:space="preserve">Un paciente con un saldo de $1,000 o menos es elegible para un plan de pago después de que se hayan agotado los esfuerzos razonables para obtener el pago completo.  Al paciente se le ofrecerá al menos un plan de pago de un año sin intereses con un pago mensual mínimo de no menos de $25. </w:t>
      </w:r>
    </w:p>
    <w:p w14:paraId="15E2AEA7" w14:textId="77777777" w:rsidR="00885C6F" w:rsidRPr="007F6F58" w:rsidRDefault="00885C6F" w:rsidP="00487AC7">
      <w:pPr>
        <w:spacing w:line="260" w:lineRule="exact"/>
        <w:ind w:left="540"/>
        <w:rPr>
          <w:color w:val="000000"/>
          <w:spacing w:val="-5"/>
        </w:rPr>
      </w:pPr>
    </w:p>
    <w:p w14:paraId="345308DF" w14:textId="1BA34938" w:rsidR="0052624D" w:rsidRPr="007F6F58" w:rsidRDefault="00885C6F" w:rsidP="00487AC7">
      <w:pPr>
        <w:pStyle w:val="ListParagraph"/>
        <w:numPr>
          <w:ilvl w:val="0"/>
          <w:numId w:val="25"/>
        </w:numPr>
        <w:spacing w:line="260" w:lineRule="exact"/>
        <w:rPr>
          <w:color w:val="000000"/>
          <w:spacing w:val="-5"/>
        </w:rPr>
      </w:pPr>
      <w:r w:rsidRPr="007F6F58">
        <w:rPr>
          <w:color w:val="000000"/>
          <w:spacing w:val="-5"/>
        </w:rPr>
        <w:t>El paciente que tenga un saldo de más de $1,000 es elegible para un plan de pago después de que se hayan agotado los esfuerzos razonables para obtener el pago total hasta un plan de pago sin intereses de dos años.</w:t>
      </w:r>
    </w:p>
    <w:p w14:paraId="7088226F" w14:textId="77777777" w:rsidR="0052624D" w:rsidRPr="007F6F58" w:rsidRDefault="0052624D" w:rsidP="00487AC7">
      <w:pPr>
        <w:pStyle w:val="ListParagraph"/>
        <w:spacing w:line="260" w:lineRule="exact"/>
        <w:ind w:left="540"/>
        <w:rPr>
          <w:color w:val="000000"/>
          <w:spacing w:val="-5"/>
        </w:rPr>
      </w:pPr>
    </w:p>
    <w:p w14:paraId="319DEAD8" w14:textId="20F73730" w:rsidR="0052624D" w:rsidRPr="007F6F58" w:rsidRDefault="00FB410D" w:rsidP="00487AC7">
      <w:pPr>
        <w:pStyle w:val="ListParagraph"/>
        <w:numPr>
          <w:ilvl w:val="0"/>
          <w:numId w:val="25"/>
        </w:numPr>
        <w:spacing w:line="260" w:lineRule="exact"/>
        <w:rPr>
          <w:b/>
          <w:bCs/>
          <w:smallCaps/>
          <w:spacing w:val="-5"/>
        </w:rPr>
      </w:pPr>
      <w:r w:rsidRPr="007F6F58">
        <w:rPr>
          <w:color w:val="000000"/>
          <w:spacing w:val="-5"/>
        </w:rPr>
        <w:t>Se espera que los planes de pago se mantengan en buen estado y estén sujetos a modificaciones a medida que se incurra en una responsabilidad adicional del paciente.  La expectativa de un plan de pago es que no se requiera la continuación de la recaudación y que los pagos se reciban a tiempo. Sin embargo, los planes de pago atrasados están sujetos al proceso de cobro de SHS.</w:t>
      </w:r>
      <w:r w:rsidRPr="007F6F58">
        <w:rPr>
          <w:b/>
          <w:smallCaps/>
          <w:spacing w:val="-5"/>
          <w:u w:val="single"/>
        </w:rPr>
        <w:t xml:space="preserve"> </w:t>
      </w:r>
    </w:p>
    <w:p w14:paraId="12473750" w14:textId="77777777" w:rsidR="009F5FE2" w:rsidRPr="007F6F58" w:rsidRDefault="009F5FE2" w:rsidP="00487AC7">
      <w:pPr>
        <w:pStyle w:val="ListParagraph"/>
        <w:spacing w:line="260" w:lineRule="exact"/>
        <w:ind w:left="360"/>
        <w:rPr>
          <w:b/>
          <w:bCs/>
          <w:smallCaps/>
          <w:spacing w:val="-5"/>
        </w:rPr>
      </w:pPr>
    </w:p>
    <w:p w14:paraId="5121BF8B" w14:textId="77777777" w:rsidR="00D71211" w:rsidRPr="007F6F58" w:rsidRDefault="00D0349A" w:rsidP="00487AC7">
      <w:pPr>
        <w:spacing w:line="260" w:lineRule="exact"/>
        <w:rPr>
          <w:b/>
          <w:bCs/>
          <w:smallCaps/>
          <w:color w:val="000000"/>
          <w:spacing w:val="-5"/>
        </w:rPr>
      </w:pPr>
      <w:r w:rsidRPr="007F6F58">
        <w:rPr>
          <w:b/>
          <w:smallCaps/>
          <w:color w:val="000000"/>
          <w:spacing w:val="-5"/>
        </w:rPr>
        <w:t>III.</w:t>
      </w:r>
      <w:r w:rsidRPr="007F6F58">
        <w:rPr>
          <w:b/>
          <w:color w:val="000000"/>
          <w:spacing w:val="-5"/>
        </w:rPr>
        <w:t xml:space="preserve">    </w:t>
      </w:r>
      <w:r w:rsidRPr="007F6F58">
        <w:rPr>
          <w:b/>
          <w:smallCaps/>
          <w:color w:val="000000"/>
          <w:spacing w:val="-5"/>
        </w:rPr>
        <w:t>Determinación de la deuda incobrable</w:t>
      </w:r>
    </w:p>
    <w:p w14:paraId="16BE1C47" w14:textId="77777777" w:rsidR="00D71211" w:rsidRPr="007F6F58" w:rsidRDefault="00D71211" w:rsidP="00487AC7">
      <w:pPr>
        <w:spacing w:line="260" w:lineRule="exact"/>
        <w:rPr>
          <w:rFonts w:ascii="Cambria" w:hAnsi="Cambria"/>
          <w:b/>
          <w:color w:val="000000"/>
          <w:spacing w:val="-5"/>
          <w:u w:val="single"/>
        </w:rPr>
      </w:pPr>
    </w:p>
    <w:p w14:paraId="164F8F09" w14:textId="77777777" w:rsidR="00D71211" w:rsidRPr="007F6F58" w:rsidRDefault="00D71211" w:rsidP="00487AC7">
      <w:pPr>
        <w:numPr>
          <w:ilvl w:val="0"/>
          <w:numId w:val="2"/>
        </w:numPr>
        <w:spacing w:line="260" w:lineRule="exact"/>
        <w:ind w:hanging="504"/>
        <w:rPr>
          <w:b/>
          <w:color w:val="000000"/>
          <w:spacing w:val="-5"/>
          <w:u w:val="single"/>
        </w:rPr>
      </w:pPr>
      <w:r w:rsidRPr="007F6F58">
        <w:rPr>
          <w:b/>
          <w:color w:val="000000"/>
          <w:spacing w:val="-5"/>
          <w:u w:val="single"/>
        </w:rPr>
        <w:t>Política de facturación a terceros</w:t>
      </w:r>
    </w:p>
    <w:p w14:paraId="052F0B70" w14:textId="77777777" w:rsidR="00D71211" w:rsidRPr="007F6F58" w:rsidRDefault="00D71211" w:rsidP="00487AC7">
      <w:pPr>
        <w:spacing w:line="260" w:lineRule="exact"/>
        <w:ind w:left="90"/>
        <w:rPr>
          <w:color w:val="000000"/>
          <w:spacing w:val="-5"/>
        </w:rPr>
      </w:pPr>
      <w:r w:rsidRPr="007F6F58">
        <w:rPr>
          <w:color w:val="000000"/>
          <w:spacing w:val="-5"/>
        </w:rPr>
        <w:t xml:space="preserve"> </w:t>
      </w:r>
    </w:p>
    <w:p w14:paraId="78D67FE1" w14:textId="77777777" w:rsidR="00424D5F" w:rsidRPr="007F6F58" w:rsidRDefault="00D71211" w:rsidP="00487AC7">
      <w:pPr>
        <w:numPr>
          <w:ilvl w:val="0"/>
          <w:numId w:val="5"/>
        </w:numPr>
        <w:tabs>
          <w:tab w:val="clear" w:pos="900"/>
          <w:tab w:val="num" w:pos="540"/>
        </w:tabs>
        <w:spacing w:line="260" w:lineRule="exact"/>
        <w:ind w:left="540"/>
        <w:rPr>
          <w:color w:val="000000"/>
          <w:spacing w:val="-5"/>
        </w:rPr>
      </w:pPr>
      <w:r w:rsidRPr="007F6F58">
        <w:rPr>
          <w:color w:val="000000"/>
          <w:spacing w:val="-5"/>
        </w:rPr>
        <w:t>Cuando corresponda, SHS facturará a todos los terceros antes de la facturación del auto-pago.</w:t>
      </w:r>
    </w:p>
    <w:p w14:paraId="57F4E3C8" w14:textId="77777777" w:rsidR="00424D5F" w:rsidRPr="007F6F58" w:rsidRDefault="00424D5F" w:rsidP="00487AC7">
      <w:pPr>
        <w:tabs>
          <w:tab w:val="num" w:pos="540"/>
        </w:tabs>
        <w:spacing w:line="260" w:lineRule="exact"/>
        <w:ind w:left="540" w:hanging="360"/>
        <w:rPr>
          <w:color w:val="000000"/>
          <w:spacing w:val="-5"/>
        </w:rPr>
      </w:pPr>
      <w:r w:rsidRPr="007F6F58">
        <w:rPr>
          <w:color w:val="000000"/>
          <w:spacing w:val="-5"/>
        </w:rPr>
        <w:t xml:space="preserve"> </w:t>
      </w:r>
    </w:p>
    <w:p w14:paraId="68D35209" w14:textId="77777777" w:rsidR="00424D5F" w:rsidRPr="007F6F58" w:rsidRDefault="00D0349A" w:rsidP="00487AC7">
      <w:pPr>
        <w:numPr>
          <w:ilvl w:val="0"/>
          <w:numId w:val="5"/>
        </w:numPr>
        <w:tabs>
          <w:tab w:val="clear" w:pos="900"/>
          <w:tab w:val="num" w:pos="540"/>
        </w:tabs>
        <w:spacing w:line="260" w:lineRule="exact"/>
        <w:ind w:left="540"/>
        <w:rPr>
          <w:color w:val="000000"/>
          <w:spacing w:val="-5"/>
        </w:rPr>
      </w:pPr>
      <w:r w:rsidRPr="007F6F58">
        <w:rPr>
          <w:color w:val="000000"/>
          <w:spacing w:val="-5"/>
        </w:rPr>
        <w:t>SHS hace esfuerzos razonables para reunir y verificar la información de terceros.</w:t>
      </w:r>
    </w:p>
    <w:p w14:paraId="0DFF1012" w14:textId="77777777" w:rsidR="00424D5F" w:rsidRPr="007F6F58" w:rsidRDefault="00424D5F" w:rsidP="00487AC7">
      <w:pPr>
        <w:pStyle w:val="ListParagraph"/>
        <w:tabs>
          <w:tab w:val="num" w:pos="540"/>
        </w:tabs>
        <w:spacing w:line="260" w:lineRule="exact"/>
        <w:ind w:left="540" w:hanging="360"/>
        <w:rPr>
          <w:color w:val="000000"/>
          <w:spacing w:val="-5"/>
        </w:rPr>
      </w:pPr>
    </w:p>
    <w:p w14:paraId="0D182C21" w14:textId="77777777" w:rsidR="00424D5F" w:rsidRPr="007F6F58" w:rsidRDefault="00D0349A" w:rsidP="00487AC7">
      <w:pPr>
        <w:numPr>
          <w:ilvl w:val="0"/>
          <w:numId w:val="5"/>
        </w:numPr>
        <w:tabs>
          <w:tab w:val="clear" w:pos="900"/>
          <w:tab w:val="num" w:pos="540"/>
        </w:tabs>
        <w:spacing w:line="260" w:lineRule="exact"/>
        <w:ind w:left="540"/>
        <w:rPr>
          <w:color w:val="000000"/>
          <w:spacing w:val="-5"/>
        </w:rPr>
      </w:pPr>
      <w:r w:rsidRPr="007F6F58">
        <w:rPr>
          <w:color w:val="000000"/>
          <w:spacing w:val="-5"/>
        </w:rPr>
        <w:t>SHS honrará todos los acuerdos contractuales con terceros.</w:t>
      </w:r>
    </w:p>
    <w:p w14:paraId="73619A31" w14:textId="77777777" w:rsidR="00424D5F" w:rsidRPr="007F6F58" w:rsidRDefault="00424D5F" w:rsidP="00487AC7">
      <w:pPr>
        <w:pStyle w:val="ListParagraph"/>
        <w:tabs>
          <w:tab w:val="num" w:pos="540"/>
        </w:tabs>
        <w:spacing w:line="260" w:lineRule="exact"/>
        <w:ind w:left="540" w:hanging="360"/>
        <w:rPr>
          <w:color w:val="000000"/>
          <w:spacing w:val="-5"/>
        </w:rPr>
      </w:pPr>
    </w:p>
    <w:p w14:paraId="02655073" w14:textId="77777777" w:rsidR="00D71211" w:rsidRPr="007F6F58" w:rsidRDefault="00D71211" w:rsidP="00487AC7">
      <w:pPr>
        <w:numPr>
          <w:ilvl w:val="0"/>
          <w:numId w:val="5"/>
        </w:numPr>
        <w:tabs>
          <w:tab w:val="clear" w:pos="900"/>
          <w:tab w:val="num" w:pos="540"/>
        </w:tabs>
        <w:spacing w:line="260" w:lineRule="exact"/>
        <w:ind w:left="540"/>
        <w:rPr>
          <w:color w:val="000000"/>
          <w:spacing w:val="-5"/>
        </w:rPr>
      </w:pPr>
      <w:r w:rsidRPr="007F6F58">
        <w:rPr>
          <w:color w:val="000000"/>
          <w:spacing w:val="-5"/>
        </w:rPr>
        <w:t>La facturación a terceros se realizará después de un período de suspensión razonable desde la fecha del servicio.</w:t>
      </w:r>
    </w:p>
    <w:p w14:paraId="03CC0EFE" w14:textId="77777777" w:rsidR="005E3941" w:rsidRPr="007F6F58" w:rsidRDefault="005E3941" w:rsidP="00487AC7">
      <w:pPr>
        <w:pStyle w:val="ListParagraph"/>
        <w:spacing w:line="260" w:lineRule="exact"/>
        <w:rPr>
          <w:color w:val="000000"/>
          <w:spacing w:val="-5"/>
        </w:rPr>
      </w:pPr>
    </w:p>
    <w:p w14:paraId="4667D721" w14:textId="77777777" w:rsidR="00D71211" w:rsidRPr="007F6F58" w:rsidRDefault="00D71211" w:rsidP="00487AC7">
      <w:pPr>
        <w:keepNext/>
        <w:numPr>
          <w:ilvl w:val="0"/>
          <w:numId w:val="4"/>
        </w:numPr>
        <w:spacing w:line="260" w:lineRule="exact"/>
        <w:ind w:hanging="540"/>
        <w:rPr>
          <w:b/>
          <w:color w:val="000000"/>
          <w:spacing w:val="-5"/>
          <w:u w:val="single"/>
        </w:rPr>
      </w:pPr>
      <w:r w:rsidRPr="007F6F58">
        <w:rPr>
          <w:b/>
          <w:color w:val="000000"/>
          <w:spacing w:val="-5"/>
          <w:u w:val="single"/>
        </w:rPr>
        <w:lastRenderedPageBreak/>
        <w:t>Determinación de auto-pago</w:t>
      </w:r>
    </w:p>
    <w:p w14:paraId="18B4E7F2" w14:textId="77777777" w:rsidR="00D71211" w:rsidRPr="007F6F58" w:rsidRDefault="00D71211" w:rsidP="00487AC7">
      <w:pPr>
        <w:keepNext/>
        <w:spacing w:line="260" w:lineRule="exact"/>
        <w:rPr>
          <w:color w:val="000000"/>
          <w:spacing w:val="-5"/>
        </w:rPr>
      </w:pPr>
    </w:p>
    <w:p w14:paraId="6F32E6BC" w14:textId="4AD6D4FA" w:rsidR="00D71211" w:rsidRPr="007F6F58" w:rsidRDefault="00D0349A" w:rsidP="00487AC7">
      <w:pPr>
        <w:pStyle w:val="ListParagraph"/>
        <w:numPr>
          <w:ilvl w:val="0"/>
          <w:numId w:val="27"/>
        </w:numPr>
        <w:tabs>
          <w:tab w:val="num" w:pos="1980"/>
        </w:tabs>
        <w:spacing w:line="260" w:lineRule="exact"/>
        <w:rPr>
          <w:color w:val="000000"/>
          <w:spacing w:val="-5"/>
        </w:rPr>
      </w:pPr>
      <w:r w:rsidRPr="007F6F58">
        <w:rPr>
          <w:color w:val="000000"/>
          <w:spacing w:val="-5"/>
        </w:rPr>
        <w:t>SHS considerará que las cuentas son auto-pagadas si el paciente cumple con los siguientes criterios:</w:t>
      </w:r>
    </w:p>
    <w:p w14:paraId="0ECAA081" w14:textId="77777777" w:rsidR="00D71211" w:rsidRPr="007F6F58" w:rsidRDefault="00D71211" w:rsidP="00487AC7">
      <w:pPr>
        <w:spacing w:line="260" w:lineRule="exact"/>
        <w:rPr>
          <w:color w:val="000000"/>
          <w:spacing w:val="-5"/>
        </w:rPr>
      </w:pPr>
    </w:p>
    <w:p w14:paraId="0E7C1F0D" w14:textId="77777777" w:rsidR="00424D5F" w:rsidRPr="007F6F58" w:rsidRDefault="00D71211" w:rsidP="00487AC7">
      <w:pPr>
        <w:pStyle w:val="ListParagraph"/>
        <w:numPr>
          <w:ilvl w:val="0"/>
          <w:numId w:val="27"/>
        </w:numPr>
        <w:tabs>
          <w:tab w:val="num" w:pos="1980"/>
        </w:tabs>
        <w:spacing w:line="260" w:lineRule="exact"/>
        <w:rPr>
          <w:color w:val="000000"/>
          <w:spacing w:val="-5"/>
        </w:rPr>
      </w:pPr>
      <w:r w:rsidRPr="007F6F58">
        <w:rPr>
          <w:color w:val="000000"/>
          <w:spacing w:val="-5"/>
        </w:rPr>
        <w:t xml:space="preserve">No es elegible para asistencia de bajos ingresos, </w:t>
      </w:r>
      <w:proofErr w:type="spellStart"/>
      <w:r w:rsidRPr="007F6F58">
        <w:rPr>
          <w:color w:val="000000"/>
          <w:spacing w:val="-5"/>
        </w:rPr>
        <w:t>MassHealth</w:t>
      </w:r>
      <w:proofErr w:type="spellEnd"/>
      <w:r w:rsidRPr="007F6F58">
        <w:rPr>
          <w:color w:val="000000"/>
          <w:spacing w:val="-5"/>
        </w:rPr>
        <w:t xml:space="preserve"> o asistencia de otros programas gubernamentales; y </w:t>
      </w:r>
    </w:p>
    <w:p w14:paraId="4ABFF350" w14:textId="77777777" w:rsidR="00424D5F" w:rsidRPr="007F6F58" w:rsidRDefault="00424D5F" w:rsidP="00487AC7">
      <w:pPr>
        <w:spacing w:line="260" w:lineRule="exact"/>
        <w:ind w:left="1080" w:firstLine="60"/>
        <w:rPr>
          <w:color w:val="000000"/>
          <w:spacing w:val="-5"/>
        </w:rPr>
      </w:pPr>
    </w:p>
    <w:p w14:paraId="40E629BE" w14:textId="77777777" w:rsidR="00424D5F" w:rsidRPr="007F6F58" w:rsidRDefault="00D71211" w:rsidP="00487AC7">
      <w:pPr>
        <w:pStyle w:val="ListParagraph"/>
        <w:numPr>
          <w:ilvl w:val="0"/>
          <w:numId w:val="27"/>
        </w:numPr>
        <w:tabs>
          <w:tab w:val="num" w:pos="1980"/>
        </w:tabs>
        <w:spacing w:line="260" w:lineRule="exact"/>
        <w:rPr>
          <w:color w:val="000000"/>
          <w:spacing w:val="-5"/>
        </w:rPr>
      </w:pPr>
      <w:r w:rsidRPr="007F6F58">
        <w:rPr>
          <w:color w:val="000000"/>
          <w:spacing w:val="-5"/>
        </w:rPr>
        <w:t>No tiene seguro o tiene un saldo después del seguro; o</w:t>
      </w:r>
    </w:p>
    <w:p w14:paraId="58DC2428" w14:textId="77777777" w:rsidR="00424D5F" w:rsidRPr="007F6F58" w:rsidRDefault="00424D5F" w:rsidP="00487AC7">
      <w:pPr>
        <w:pStyle w:val="ListParagraph"/>
        <w:spacing w:line="260" w:lineRule="exact"/>
        <w:ind w:left="0"/>
        <w:rPr>
          <w:color w:val="000000"/>
          <w:spacing w:val="-5"/>
        </w:rPr>
      </w:pPr>
    </w:p>
    <w:p w14:paraId="1063ECF9" w14:textId="77777777" w:rsidR="00424D5F" w:rsidRPr="007F6F58" w:rsidRDefault="00D71211" w:rsidP="00487AC7">
      <w:pPr>
        <w:pStyle w:val="ListParagraph"/>
        <w:numPr>
          <w:ilvl w:val="0"/>
          <w:numId w:val="27"/>
        </w:numPr>
        <w:tabs>
          <w:tab w:val="num" w:pos="1980"/>
        </w:tabs>
        <w:spacing w:line="260" w:lineRule="exact"/>
        <w:rPr>
          <w:color w:val="000000"/>
          <w:spacing w:val="-5"/>
        </w:rPr>
      </w:pPr>
      <w:r w:rsidRPr="007F6F58">
        <w:rPr>
          <w:color w:val="000000"/>
          <w:spacing w:val="-5"/>
        </w:rPr>
        <w:t>Ha incumplido un plan de pago establecido.</w:t>
      </w:r>
    </w:p>
    <w:p w14:paraId="6486C926" w14:textId="77777777" w:rsidR="00424D5F" w:rsidRPr="007F6F58" w:rsidRDefault="00424D5F" w:rsidP="00487AC7">
      <w:pPr>
        <w:pStyle w:val="ListParagraph"/>
        <w:spacing w:line="260" w:lineRule="exact"/>
        <w:ind w:left="0"/>
        <w:rPr>
          <w:color w:val="000000"/>
          <w:spacing w:val="-5"/>
        </w:rPr>
      </w:pPr>
    </w:p>
    <w:p w14:paraId="21DF9597" w14:textId="77777777" w:rsidR="00D71211" w:rsidRPr="007F6F58" w:rsidRDefault="00D71211" w:rsidP="00487AC7">
      <w:pPr>
        <w:pStyle w:val="ListParagraph"/>
        <w:numPr>
          <w:ilvl w:val="0"/>
          <w:numId w:val="27"/>
        </w:numPr>
        <w:spacing w:line="260" w:lineRule="exact"/>
        <w:rPr>
          <w:color w:val="000000"/>
          <w:spacing w:val="-5"/>
        </w:rPr>
      </w:pPr>
      <w:r w:rsidRPr="007F6F58">
        <w:rPr>
          <w:color w:val="000000"/>
          <w:spacing w:val="-5"/>
        </w:rPr>
        <w:t>Si no se dispone de toda la información de facturación necesaria de terceros o el paciente/garante no coopera en la entrega de esta información, el paciente será considerado como auto-pago.</w:t>
      </w:r>
    </w:p>
    <w:p w14:paraId="197A9315" w14:textId="77777777" w:rsidR="001D0AEB" w:rsidRPr="007F6F58" w:rsidRDefault="001D0AEB" w:rsidP="00487AC7">
      <w:pPr>
        <w:pStyle w:val="ListParagraph"/>
        <w:spacing w:line="260" w:lineRule="exact"/>
        <w:ind w:left="360"/>
        <w:rPr>
          <w:color w:val="000000"/>
          <w:spacing w:val="-5"/>
        </w:rPr>
      </w:pPr>
    </w:p>
    <w:p w14:paraId="0E693C36" w14:textId="61534C8A" w:rsidR="001D0AEB" w:rsidRPr="007F6F58" w:rsidRDefault="001D0AEB" w:rsidP="00487AC7">
      <w:pPr>
        <w:pStyle w:val="ListParagraph"/>
        <w:numPr>
          <w:ilvl w:val="0"/>
          <w:numId w:val="27"/>
        </w:numPr>
        <w:spacing w:line="260" w:lineRule="exact"/>
        <w:rPr>
          <w:spacing w:val="-5"/>
        </w:rPr>
      </w:pPr>
      <w:r w:rsidRPr="007F6F58">
        <w:rPr>
          <w:spacing w:val="-5"/>
        </w:rPr>
        <w:t>Para los individuos que se determine que son pacientes de bajos ingresos a través de la política de asistencia financiera de SHG, el equipo de contabilidad de pacientes de SHS se reserva el derecho de considerar la deuda como caridad.  Los servicios denegados antes de la fecha de solicitud pueden ser considerados como cuidados de caridad.</w:t>
      </w:r>
    </w:p>
    <w:p w14:paraId="7637A434" w14:textId="77777777" w:rsidR="00D71211" w:rsidRPr="007F6F58" w:rsidRDefault="00D71211" w:rsidP="00487AC7">
      <w:pPr>
        <w:tabs>
          <w:tab w:val="num" w:pos="720"/>
        </w:tabs>
        <w:spacing w:line="260" w:lineRule="exact"/>
        <w:ind w:left="540" w:hanging="360"/>
        <w:rPr>
          <w:rFonts w:ascii="Cambria" w:hAnsi="Cambria"/>
          <w:color w:val="000000"/>
          <w:spacing w:val="-5"/>
        </w:rPr>
      </w:pPr>
    </w:p>
    <w:p w14:paraId="4FA34EC2" w14:textId="0EB9A994" w:rsidR="00D71211" w:rsidRPr="007F6F58" w:rsidRDefault="001103F7" w:rsidP="00487AC7">
      <w:pPr>
        <w:numPr>
          <w:ilvl w:val="0"/>
          <w:numId w:val="4"/>
        </w:numPr>
        <w:tabs>
          <w:tab w:val="clear" w:pos="540"/>
          <w:tab w:val="num" w:pos="360"/>
        </w:tabs>
        <w:spacing w:line="260" w:lineRule="exact"/>
        <w:ind w:hanging="540"/>
        <w:rPr>
          <w:b/>
          <w:color w:val="000000"/>
          <w:spacing w:val="-5"/>
          <w:u w:val="single"/>
        </w:rPr>
      </w:pPr>
      <w:r w:rsidRPr="007F6F58">
        <w:rPr>
          <w:b/>
          <w:color w:val="000000"/>
          <w:spacing w:val="-5"/>
          <w:u w:val="single"/>
        </w:rPr>
        <w:t>Proceso de facturación y cobro de SHG</w:t>
      </w:r>
    </w:p>
    <w:p w14:paraId="471149A9" w14:textId="5CC5EA4C" w:rsidR="00D71211" w:rsidRPr="007F6F58" w:rsidRDefault="00D71211" w:rsidP="00487AC7">
      <w:pPr>
        <w:spacing w:line="260" w:lineRule="exact"/>
        <w:rPr>
          <w:color w:val="000000"/>
          <w:spacing w:val="-5"/>
        </w:rPr>
      </w:pPr>
    </w:p>
    <w:p w14:paraId="2FBA3D94" w14:textId="775AA155" w:rsidR="001103F7" w:rsidRPr="007F6F58" w:rsidRDefault="001103F7" w:rsidP="00487AC7">
      <w:pPr>
        <w:spacing w:line="260" w:lineRule="exact"/>
        <w:rPr>
          <w:color w:val="000000"/>
          <w:spacing w:val="-5"/>
        </w:rPr>
      </w:pPr>
      <w:r w:rsidRPr="007F6F58">
        <w:rPr>
          <w:color w:val="000000"/>
          <w:spacing w:val="-5"/>
        </w:rPr>
        <w:t>NOTA a los pacientes: El siguiente proceso de facturación y cobro se aplica específicamente a los servicios de SHG y a los servicios prestados por SPG en las instalaciones de SHG (hospital).  SPG y VNA pueden, pero no están obligados, a seguir los procesos específicos que se describen a continuación.</w:t>
      </w:r>
    </w:p>
    <w:p w14:paraId="20D4EDE7" w14:textId="77777777" w:rsidR="001103F7" w:rsidRPr="007F6F58" w:rsidRDefault="001103F7" w:rsidP="00487AC7">
      <w:pPr>
        <w:spacing w:line="260" w:lineRule="exact"/>
        <w:rPr>
          <w:color w:val="000000"/>
          <w:spacing w:val="-5"/>
        </w:rPr>
      </w:pPr>
    </w:p>
    <w:p w14:paraId="7D43A26C" w14:textId="05D2A0F3" w:rsidR="00424D5F" w:rsidRPr="007F6F58" w:rsidRDefault="00D71211" w:rsidP="00487AC7">
      <w:pPr>
        <w:numPr>
          <w:ilvl w:val="0"/>
          <w:numId w:val="3"/>
        </w:numPr>
        <w:tabs>
          <w:tab w:val="clear" w:pos="1530"/>
        </w:tabs>
        <w:spacing w:line="260" w:lineRule="exact"/>
        <w:ind w:left="540"/>
        <w:rPr>
          <w:color w:val="000000"/>
          <w:spacing w:val="-5"/>
        </w:rPr>
      </w:pPr>
      <w:r w:rsidRPr="007F6F58">
        <w:rPr>
          <w:color w:val="000000"/>
          <w:spacing w:val="-5"/>
        </w:rPr>
        <w:t xml:space="preserve">Todas las facturas se vencen y son pagaderas cuando se ha determinado la responsabilidad del paciente.  </w:t>
      </w:r>
    </w:p>
    <w:p w14:paraId="50218FB8" w14:textId="377C8EDF" w:rsidR="001103F7" w:rsidRPr="007F6F58" w:rsidRDefault="00424D5F" w:rsidP="00487AC7">
      <w:pPr>
        <w:spacing w:line="260" w:lineRule="exact"/>
        <w:ind w:left="900"/>
        <w:rPr>
          <w:color w:val="000000"/>
          <w:spacing w:val="-5"/>
        </w:rPr>
      </w:pPr>
      <w:r w:rsidRPr="007F6F58">
        <w:rPr>
          <w:color w:val="000000"/>
          <w:spacing w:val="-5"/>
        </w:rPr>
        <w:t xml:space="preserve"> </w:t>
      </w:r>
    </w:p>
    <w:p w14:paraId="6D4C8320" w14:textId="27CCE12E" w:rsidR="00424D5F" w:rsidRPr="007F6F58" w:rsidRDefault="001103F7" w:rsidP="00487AC7">
      <w:pPr>
        <w:numPr>
          <w:ilvl w:val="0"/>
          <w:numId w:val="3"/>
        </w:numPr>
        <w:tabs>
          <w:tab w:val="clear" w:pos="1530"/>
          <w:tab w:val="left" w:pos="540"/>
        </w:tabs>
        <w:spacing w:line="260" w:lineRule="exact"/>
        <w:ind w:left="540"/>
        <w:rPr>
          <w:color w:val="000000"/>
          <w:spacing w:val="-5"/>
        </w:rPr>
      </w:pPr>
      <w:r w:rsidRPr="007F6F58">
        <w:rPr>
          <w:color w:val="000000"/>
          <w:spacing w:val="-5"/>
        </w:rPr>
        <w:t xml:space="preserve">SHG realizará esfuerzos razonables de cobro para cobrar las responsabilidades del paciente de acuerdo con la Sección 501(r) y las regulaciones de HSN (incluyendo sin limitación lo establecido en 101 CMR 613.06).  Los estados de cuenta, el teléfono y el correo electrónico o el texto son opciones para el contacto con el paciente relacionadas con la responsabilidad de auto-pago solicitando el pago completo.  </w:t>
      </w:r>
    </w:p>
    <w:p w14:paraId="2B4F5BDC" w14:textId="77777777" w:rsidR="00424D5F" w:rsidRPr="007F6F58" w:rsidRDefault="00424D5F" w:rsidP="00487AC7">
      <w:pPr>
        <w:pStyle w:val="ListParagraph"/>
        <w:tabs>
          <w:tab w:val="left" w:pos="540"/>
        </w:tabs>
        <w:spacing w:line="260" w:lineRule="exact"/>
        <w:ind w:left="540" w:hanging="360"/>
        <w:rPr>
          <w:color w:val="000000"/>
          <w:spacing w:val="-5"/>
        </w:rPr>
      </w:pPr>
    </w:p>
    <w:p w14:paraId="1E83DCDE" w14:textId="12A33363" w:rsidR="00220CF5" w:rsidRPr="007F6F58" w:rsidRDefault="00D71211" w:rsidP="00487AC7">
      <w:pPr>
        <w:numPr>
          <w:ilvl w:val="0"/>
          <w:numId w:val="3"/>
        </w:numPr>
        <w:tabs>
          <w:tab w:val="clear" w:pos="1530"/>
          <w:tab w:val="left" w:pos="540"/>
        </w:tabs>
        <w:spacing w:line="260" w:lineRule="exact"/>
        <w:ind w:left="540"/>
        <w:rPr>
          <w:color w:val="000000"/>
          <w:spacing w:val="-5"/>
        </w:rPr>
      </w:pPr>
      <w:r w:rsidRPr="007F6F58">
        <w:rPr>
          <w:color w:val="000000"/>
          <w:spacing w:val="-5"/>
        </w:rPr>
        <w:t>El seguimiento posterior por parte del cobrador se realiza en un mínimo de 120 días en forma de contacto telefónico siempre que sea posible, estados de cuenta y/o cartas.   Antes de iniciar cualquier ECA, SHG hará al menos un intento de contactar por teléfono con la parte responsable del pago y le notificará que puede haber asistencia financiera disponible.</w:t>
      </w:r>
    </w:p>
    <w:p w14:paraId="43BCF13D" w14:textId="77777777" w:rsidR="00220CF5" w:rsidRPr="007F6F58" w:rsidRDefault="00220CF5" w:rsidP="00487AC7">
      <w:pPr>
        <w:pStyle w:val="ListParagraph"/>
        <w:spacing w:line="260" w:lineRule="exact"/>
        <w:rPr>
          <w:color w:val="000000"/>
          <w:spacing w:val="-5"/>
        </w:rPr>
      </w:pPr>
    </w:p>
    <w:p w14:paraId="427F7AAA" w14:textId="4C7DAFA3" w:rsidR="00424D5F" w:rsidRPr="007F6F58" w:rsidRDefault="00D71211" w:rsidP="00487AC7">
      <w:pPr>
        <w:numPr>
          <w:ilvl w:val="0"/>
          <w:numId w:val="3"/>
        </w:numPr>
        <w:tabs>
          <w:tab w:val="clear" w:pos="1530"/>
          <w:tab w:val="left" w:pos="540"/>
        </w:tabs>
        <w:spacing w:line="260" w:lineRule="exact"/>
        <w:ind w:left="540"/>
        <w:rPr>
          <w:color w:val="000000"/>
          <w:spacing w:val="-5"/>
        </w:rPr>
      </w:pPr>
      <w:r w:rsidRPr="007F6F58">
        <w:rPr>
          <w:color w:val="000000"/>
          <w:spacing w:val="-5"/>
        </w:rPr>
        <w:t>Se hace todo lo posible para ayudar al paciente a resolver las preguntas de facturación, o las discrepancias del seguro.</w:t>
      </w:r>
    </w:p>
    <w:p w14:paraId="2F91ACDE" w14:textId="77777777" w:rsidR="00424D5F" w:rsidRPr="007F6F58" w:rsidRDefault="00424D5F" w:rsidP="00487AC7">
      <w:pPr>
        <w:pStyle w:val="ListParagraph"/>
        <w:tabs>
          <w:tab w:val="left" w:pos="540"/>
        </w:tabs>
        <w:spacing w:line="260" w:lineRule="exact"/>
        <w:ind w:left="540" w:hanging="360"/>
        <w:rPr>
          <w:color w:val="000000"/>
          <w:spacing w:val="-5"/>
        </w:rPr>
      </w:pPr>
    </w:p>
    <w:p w14:paraId="02A183B7" w14:textId="77777777" w:rsidR="00424D5F" w:rsidRPr="007F6F58" w:rsidRDefault="00D71211" w:rsidP="00487AC7">
      <w:pPr>
        <w:numPr>
          <w:ilvl w:val="0"/>
          <w:numId w:val="3"/>
        </w:numPr>
        <w:tabs>
          <w:tab w:val="clear" w:pos="1530"/>
          <w:tab w:val="left" w:pos="540"/>
        </w:tabs>
        <w:spacing w:line="260" w:lineRule="exact"/>
        <w:ind w:left="540"/>
        <w:rPr>
          <w:color w:val="000000"/>
          <w:spacing w:val="-5"/>
        </w:rPr>
      </w:pPr>
      <w:r w:rsidRPr="007F6F58">
        <w:rPr>
          <w:color w:val="000000"/>
          <w:spacing w:val="-5"/>
        </w:rPr>
        <w:t xml:space="preserve">Si el paciente está interesado en solicitar asistencia financiera, será remitido a Servicios Financieros para el Paciente. </w:t>
      </w:r>
    </w:p>
    <w:p w14:paraId="0946A667" w14:textId="77777777" w:rsidR="00424D5F" w:rsidRPr="007F6F58" w:rsidRDefault="00424D5F" w:rsidP="00487AC7">
      <w:pPr>
        <w:pStyle w:val="ListParagraph"/>
        <w:tabs>
          <w:tab w:val="left" w:pos="540"/>
        </w:tabs>
        <w:spacing w:line="260" w:lineRule="exact"/>
        <w:ind w:left="540" w:hanging="360"/>
        <w:rPr>
          <w:color w:val="000000"/>
          <w:spacing w:val="-5"/>
        </w:rPr>
      </w:pPr>
    </w:p>
    <w:p w14:paraId="766A6342" w14:textId="42B6F692" w:rsidR="00424D5F" w:rsidRPr="007F6F58" w:rsidRDefault="00D71211" w:rsidP="00487AC7">
      <w:pPr>
        <w:numPr>
          <w:ilvl w:val="0"/>
          <w:numId w:val="3"/>
        </w:numPr>
        <w:tabs>
          <w:tab w:val="clear" w:pos="1530"/>
          <w:tab w:val="left" w:pos="540"/>
        </w:tabs>
        <w:spacing w:line="260" w:lineRule="exact"/>
        <w:ind w:left="540"/>
        <w:rPr>
          <w:color w:val="000000"/>
          <w:spacing w:val="-5"/>
        </w:rPr>
      </w:pPr>
      <w:r w:rsidRPr="007F6F58">
        <w:rPr>
          <w:color w:val="000000"/>
          <w:spacing w:val="-5"/>
        </w:rPr>
        <w:t xml:space="preserve">Además de los esfuerzos razonables de cobro, el paciente recibe un mínimo de cuatro estados de cuenta en intervalos de 30 días hasta que la cuenta se paga en su totalidad o se anula como deuda incobrable.  Cada estado de cuenta incluirá un aviso escrito visible que indique (a) que la asistencia financiera está disponible, (b) el número de teléfono para contactar para la </w:t>
      </w:r>
      <w:r w:rsidRPr="007F6F58">
        <w:rPr>
          <w:color w:val="000000"/>
          <w:spacing w:val="-5"/>
        </w:rPr>
        <w:lastRenderedPageBreak/>
        <w:t>asistencia financiera, y (c) la dirección directa del sitio web para las políticas de asistencia financiera de SHG.</w:t>
      </w:r>
    </w:p>
    <w:p w14:paraId="6A6EC164" w14:textId="77777777" w:rsidR="00424D5F" w:rsidRPr="007F6F58" w:rsidRDefault="00424D5F" w:rsidP="00487AC7">
      <w:pPr>
        <w:pStyle w:val="ListParagraph"/>
        <w:tabs>
          <w:tab w:val="left" w:pos="540"/>
        </w:tabs>
        <w:spacing w:line="260" w:lineRule="exact"/>
        <w:ind w:left="540" w:hanging="360"/>
        <w:rPr>
          <w:color w:val="000000"/>
          <w:spacing w:val="-5"/>
        </w:rPr>
      </w:pPr>
    </w:p>
    <w:p w14:paraId="35FE15EF" w14:textId="77777777" w:rsidR="00FE1F9A" w:rsidRPr="007F6F58" w:rsidRDefault="00D71211" w:rsidP="00487AC7">
      <w:pPr>
        <w:numPr>
          <w:ilvl w:val="0"/>
          <w:numId w:val="3"/>
        </w:numPr>
        <w:tabs>
          <w:tab w:val="clear" w:pos="1530"/>
          <w:tab w:val="left" w:pos="540"/>
        </w:tabs>
        <w:spacing w:line="260" w:lineRule="exact"/>
        <w:ind w:left="540"/>
        <w:rPr>
          <w:color w:val="000000"/>
          <w:spacing w:val="-5"/>
        </w:rPr>
      </w:pPr>
      <w:r w:rsidRPr="007F6F58">
        <w:rPr>
          <w:color w:val="000000"/>
          <w:spacing w:val="-5"/>
        </w:rPr>
        <w:t xml:space="preserve">Para los casos de </w:t>
      </w:r>
      <w:r w:rsidRPr="007F6F58">
        <w:rPr>
          <w:color w:val="000000"/>
          <w:spacing w:val="-5"/>
          <w:u w:val="single"/>
        </w:rPr>
        <w:t>sala de emergencias</w:t>
      </w:r>
      <w:r w:rsidRPr="007F6F58">
        <w:rPr>
          <w:color w:val="000000"/>
          <w:spacing w:val="-5"/>
        </w:rPr>
        <w:t xml:space="preserve"> sin seguro que pague por su cuenta, en los que el hospital esté considerando la posibilidad de solicitar a HSN una cuenta como deuda incobrable emergente, SHG se asegurará de que se cumplan las siguientes condiciones:</w:t>
      </w:r>
    </w:p>
    <w:p w14:paraId="6F9C4E48" w14:textId="77777777" w:rsidR="00FE1F9A" w:rsidRPr="007F6F58" w:rsidRDefault="00FE1F9A" w:rsidP="00487AC7">
      <w:pPr>
        <w:pStyle w:val="ListParagraph"/>
        <w:spacing w:line="260" w:lineRule="exact"/>
        <w:rPr>
          <w:color w:val="000000"/>
          <w:spacing w:val="-5"/>
        </w:rPr>
      </w:pPr>
    </w:p>
    <w:p w14:paraId="5A7425E7" w14:textId="19F7097A" w:rsidR="00FE1F9A" w:rsidRPr="007F6F58" w:rsidRDefault="00FE1F9A" w:rsidP="00487AC7">
      <w:pPr>
        <w:numPr>
          <w:ilvl w:val="1"/>
          <w:numId w:val="3"/>
        </w:numPr>
        <w:tabs>
          <w:tab w:val="left" w:pos="540"/>
        </w:tabs>
        <w:spacing w:line="260" w:lineRule="exact"/>
        <w:rPr>
          <w:color w:val="000000"/>
          <w:spacing w:val="-5"/>
        </w:rPr>
      </w:pPr>
      <w:r w:rsidRPr="007F6F58">
        <w:rPr>
          <w:color w:val="000000"/>
          <w:spacing w:val="-5"/>
        </w:rPr>
        <w:t>La cuenta estuvo sujeta a un cobro continuo durante 120 días, como se requiere en la norma 101 CMR 613.06 (1)(a)(3)(b)(iv).</w:t>
      </w:r>
    </w:p>
    <w:p w14:paraId="34DEF199" w14:textId="77777777" w:rsidR="00FE1F9A" w:rsidRPr="007F6F58" w:rsidRDefault="00FE1F9A" w:rsidP="00487AC7">
      <w:pPr>
        <w:numPr>
          <w:ilvl w:val="1"/>
          <w:numId w:val="3"/>
        </w:numPr>
        <w:tabs>
          <w:tab w:val="left" w:pos="540"/>
        </w:tabs>
        <w:spacing w:line="260" w:lineRule="exact"/>
        <w:rPr>
          <w:color w:val="000000"/>
          <w:spacing w:val="-5"/>
        </w:rPr>
      </w:pPr>
      <w:r w:rsidRPr="007F6F58">
        <w:rPr>
          <w:color w:val="000000"/>
          <w:spacing w:val="-5"/>
        </w:rPr>
        <w:t xml:space="preserve">Se hizo una investigación de elegibilidad a MMIS para revisar la cobertura </w:t>
      </w:r>
    </w:p>
    <w:p w14:paraId="67E75CE3" w14:textId="32120F4C" w:rsidR="00FE1F9A" w:rsidRPr="007F6F58" w:rsidRDefault="00FE1F9A" w:rsidP="00487AC7">
      <w:pPr>
        <w:numPr>
          <w:ilvl w:val="1"/>
          <w:numId w:val="3"/>
        </w:numPr>
        <w:tabs>
          <w:tab w:val="left" w:pos="540"/>
        </w:tabs>
        <w:spacing w:line="260" w:lineRule="exact"/>
        <w:rPr>
          <w:color w:val="000000"/>
          <w:spacing w:val="-5"/>
        </w:rPr>
      </w:pPr>
      <w:r w:rsidRPr="007F6F58">
        <w:rPr>
          <w:color w:val="000000"/>
          <w:spacing w:val="-5"/>
        </w:rPr>
        <w:t>Los servicios califican como Atención de Emergencia/Urgente según la definición de esta Política.</w:t>
      </w:r>
    </w:p>
    <w:p w14:paraId="31E3564B" w14:textId="7EC6BCAD" w:rsidR="00424D5F" w:rsidRPr="007F6F58" w:rsidRDefault="001103F7" w:rsidP="00487AC7">
      <w:pPr>
        <w:numPr>
          <w:ilvl w:val="1"/>
          <w:numId w:val="3"/>
        </w:numPr>
        <w:tabs>
          <w:tab w:val="left" w:pos="540"/>
        </w:tabs>
        <w:spacing w:line="260" w:lineRule="exact"/>
        <w:rPr>
          <w:color w:val="000000"/>
          <w:spacing w:val="-5"/>
        </w:rPr>
      </w:pPr>
      <w:r w:rsidRPr="007F6F58">
        <w:rPr>
          <w:color w:val="000000"/>
          <w:spacing w:val="-5"/>
        </w:rPr>
        <w:t xml:space="preserve">Para los saldos de 1.000 dólares o más, se enviará una notificación final por correo certificado según lo requiera el Fondo de Cuidados No Compensados. </w:t>
      </w:r>
    </w:p>
    <w:p w14:paraId="79724F50" w14:textId="77777777" w:rsidR="00424D5F" w:rsidRPr="007F6F58" w:rsidRDefault="00424D5F" w:rsidP="00487AC7">
      <w:pPr>
        <w:pStyle w:val="ListParagraph"/>
        <w:tabs>
          <w:tab w:val="left" w:pos="540"/>
        </w:tabs>
        <w:spacing w:line="260" w:lineRule="exact"/>
        <w:ind w:left="540" w:hanging="360"/>
        <w:rPr>
          <w:color w:val="000000"/>
          <w:spacing w:val="-5"/>
        </w:rPr>
      </w:pPr>
    </w:p>
    <w:p w14:paraId="3159A8A0" w14:textId="4F98E23A" w:rsidR="00424D5F" w:rsidRPr="007F6F58" w:rsidRDefault="00D71211" w:rsidP="00E552C8">
      <w:pPr>
        <w:numPr>
          <w:ilvl w:val="0"/>
          <w:numId w:val="3"/>
        </w:numPr>
        <w:tabs>
          <w:tab w:val="clear" w:pos="1530"/>
          <w:tab w:val="left" w:pos="540"/>
        </w:tabs>
        <w:spacing w:line="260" w:lineRule="exact"/>
        <w:ind w:left="540"/>
        <w:rPr>
          <w:color w:val="000000"/>
          <w:spacing w:val="-5"/>
        </w:rPr>
      </w:pPr>
      <w:r w:rsidRPr="007F6F58">
        <w:rPr>
          <w:color w:val="000000"/>
          <w:spacing w:val="-5"/>
        </w:rPr>
        <w:t xml:space="preserve">Los archivos incluirán la documentación de los esfuerzos alternativos para localizar a la parte responsable de la obligación o la dirección correcta en las facturas devueltas por el servicio de correos como </w:t>
      </w:r>
      <w:r w:rsidR="00E552C8">
        <w:rPr>
          <w:color w:val="000000"/>
          <w:spacing w:val="-5"/>
        </w:rPr>
        <w:t>“</w:t>
      </w:r>
      <w:r w:rsidRPr="007F6F58">
        <w:rPr>
          <w:color w:val="000000"/>
          <w:spacing w:val="-5"/>
        </w:rPr>
        <w:t>dirección incorrecta</w:t>
      </w:r>
      <w:r w:rsidR="00E552C8">
        <w:rPr>
          <w:color w:val="000000"/>
          <w:spacing w:val="-5"/>
        </w:rPr>
        <w:t>”</w:t>
      </w:r>
      <w:r w:rsidRPr="007F6F58">
        <w:rPr>
          <w:color w:val="000000"/>
          <w:spacing w:val="-5"/>
        </w:rPr>
        <w:t xml:space="preserve"> o </w:t>
      </w:r>
      <w:r w:rsidR="00E552C8">
        <w:rPr>
          <w:color w:val="000000"/>
          <w:spacing w:val="-5"/>
        </w:rPr>
        <w:t>“</w:t>
      </w:r>
      <w:r w:rsidRPr="007F6F58">
        <w:rPr>
          <w:color w:val="000000"/>
          <w:spacing w:val="-5"/>
        </w:rPr>
        <w:t>no entregable</w:t>
      </w:r>
      <w:r w:rsidR="00E552C8">
        <w:rPr>
          <w:color w:val="000000"/>
          <w:spacing w:val="-5"/>
        </w:rPr>
        <w:t>”</w:t>
      </w:r>
      <w:r w:rsidRPr="007F6F58">
        <w:rPr>
          <w:color w:val="000000"/>
          <w:spacing w:val="-5"/>
        </w:rPr>
        <w:t>.</w:t>
      </w:r>
    </w:p>
    <w:p w14:paraId="57A6BFA4" w14:textId="77777777" w:rsidR="00424D5F" w:rsidRPr="007F6F58" w:rsidRDefault="00424D5F" w:rsidP="00487AC7">
      <w:pPr>
        <w:pStyle w:val="ListParagraph"/>
        <w:tabs>
          <w:tab w:val="left" w:pos="540"/>
        </w:tabs>
        <w:spacing w:line="260" w:lineRule="exact"/>
        <w:ind w:left="540" w:hanging="360"/>
        <w:rPr>
          <w:color w:val="000000"/>
          <w:spacing w:val="-5"/>
        </w:rPr>
      </w:pPr>
    </w:p>
    <w:p w14:paraId="3312D54A" w14:textId="77777777" w:rsidR="00424D5F" w:rsidRPr="007F6F58" w:rsidRDefault="00D71211" w:rsidP="00487AC7">
      <w:pPr>
        <w:numPr>
          <w:ilvl w:val="0"/>
          <w:numId w:val="3"/>
        </w:numPr>
        <w:tabs>
          <w:tab w:val="clear" w:pos="1530"/>
          <w:tab w:val="left" w:pos="540"/>
        </w:tabs>
        <w:spacing w:line="260" w:lineRule="exact"/>
        <w:ind w:left="540"/>
        <w:rPr>
          <w:color w:val="000000"/>
          <w:spacing w:val="-5"/>
        </w:rPr>
      </w:pPr>
      <w:r w:rsidRPr="007F6F58">
        <w:rPr>
          <w:color w:val="000000"/>
          <w:spacing w:val="-5"/>
        </w:rPr>
        <w:t>Si, después de seguir los pasos 1 a 8, se considera que una cuenta es incobrable, la cuenta se remite al administrador de cuentas del paciente o a la persona designada para la revisión de la cancelación de la deuda incobrable.</w:t>
      </w:r>
    </w:p>
    <w:p w14:paraId="748D4222" w14:textId="77777777" w:rsidR="00424D5F" w:rsidRPr="007F6F58" w:rsidRDefault="00424D5F" w:rsidP="00487AC7">
      <w:pPr>
        <w:pStyle w:val="ListParagraph"/>
        <w:tabs>
          <w:tab w:val="left" w:pos="540"/>
        </w:tabs>
        <w:spacing w:line="260" w:lineRule="exact"/>
        <w:ind w:left="540" w:hanging="360"/>
        <w:rPr>
          <w:rFonts w:ascii="Cambria" w:hAnsi="Cambria"/>
          <w:color w:val="000000"/>
          <w:spacing w:val="-5"/>
        </w:rPr>
      </w:pPr>
    </w:p>
    <w:p w14:paraId="6A2F12C7" w14:textId="77777777" w:rsidR="00424D5F" w:rsidRPr="007F6F58" w:rsidRDefault="00D71211" w:rsidP="00487AC7">
      <w:pPr>
        <w:numPr>
          <w:ilvl w:val="0"/>
          <w:numId w:val="3"/>
        </w:numPr>
        <w:tabs>
          <w:tab w:val="clear" w:pos="1530"/>
          <w:tab w:val="left" w:pos="540"/>
        </w:tabs>
        <w:spacing w:line="260" w:lineRule="exact"/>
        <w:ind w:left="540"/>
        <w:rPr>
          <w:color w:val="000000"/>
          <w:spacing w:val="-5"/>
        </w:rPr>
      </w:pPr>
      <w:r w:rsidRPr="007F6F58">
        <w:rPr>
          <w:color w:val="000000"/>
          <w:spacing w:val="-5"/>
        </w:rPr>
        <w:t xml:space="preserve">La documentación de las acciones continuas de cobro se mantendrá en papel y/o por medios electrónicos, principalmente en el Sistema de Facturación y Cobro. </w:t>
      </w:r>
    </w:p>
    <w:p w14:paraId="2AF04305" w14:textId="77777777" w:rsidR="00F92F46" w:rsidRPr="007F6F58" w:rsidRDefault="00F92F46" w:rsidP="00487AC7">
      <w:pPr>
        <w:pStyle w:val="ListParagraph"/>
        <w:tabs>
          <w:tab w:val="left" w:pos="540"/>
        </w:tabs>
        <w:spacing w:line="260" w:lineRule="exact"/>
        <w:ind w:left="540" w:hanging="360"/>
        <w:rPr>
          <w:color w:val="000000"/>
          <w:spacing w:val="-5"/>
        </w:rPr>
      </w:pPr>
    </w:p>
    <w:p w14:paraId="5E47F1C7" w14:textId="46FCB947" w:rsidR="00D71211" w:rsidRPr="007F6F58" w:rsidRDefault="001103F7" w:rsidP="00487AC7">
      <w:pPr>
        <w:numPr>
          <w:ilvl w:val="0"/>
          <w:numId w:val="3"/>
        </w:numPr>
        <w:tabs>
          <w:tab w:val="clear" w:pos="1530"/>
          <w:tab w:val="left" w:pos="540"/>
        </w:tabs>
        <w:spacing w:line="260" w:lineRule="exact"/>
        <w:ind w:left="540"/>
        <w:rPr>
          <w:color w:val="000000"/>
          <w:spacing w:val="-5"/>
        </w:rPr>
      </w:pPr>
      <w:r w:rsidRPr="007F6F58">
        <w:rPr>
          <w:color w:val="000000"/>
          <w:spacing w:val="-5"/>
        </w:rPr>
        <w:t>SHS no buscará la ejecución legal contra la residencia personal o el vehículo de motor de un paciente de bajos ingresos determinado de acuerdo con 101 CMR 613.04 sin la aprobación expresa de la Junta de Fideicomisarios de Southcoast.  Todas las aprobaciones de la Junta deben hacerse caso por caso.</w:t>
      </w:r>
    </w:p>
    <w:p w14:paraId="09134CC4" w14:textId="77777777" w:rsidR="00972F64" w:rsidRPr="007F6F58" w:rsidRDefault="00972F64" w:rsidP="00487AC7">
      <w:pPr>
        <w:pStyle w:val="ListParagraph"/>
        <w:spacing w:line="260" w:lineRule="exact"/>
        <w:rPr>
          <w:rFonts w:ascii="Cambria" w:hAnsi="Cambria"/>
          <w:color w:val="000000"/>
          <w:spacing w:val="-5"/>
        </w:rPr>
      </w:pPr>
    </w:p>
    <w:p w14:paraId="4474BD24" w14:textId="77777777" w:rsidR="00972F64" w:rsidRPr="007F6F58" w:rsidRDefault="00972F64" w:rsidP="00487AC7">
      <w:pPr>
        <w:numPr>
          <w:ilvl w:val="0"/>
          <w:numId w:val="14"/>
        </w:numPr>
        <w:spacing w:line="260" w:lineRule="exact"/>
        <w:ind w:left="360"/>
        <w:rPr>
          <w:b/>
          <w:spacing w:val="-5"/>
          <w:u w:val="single"/>
        </w:rPr>
      </w:pPr>
      <w:r w:rsidRPr="007F6F58">
        <w:rPr>
          <w:b/>
          <w:color w:val="000000"/>
          <w:spacing w:val="-5"/>
          <w:u w:val="single"/>
        </w:rPr>
        <w:t xml:space="preserve">Acciones de Cobro Extraordinario (ECA, por sus siglas en inglés) </w:t>
      </w:r>
    </w:p>
    <w:p w14:paraId="4D88E1EC" w14:textId="5342A0CA" w:rsidR="00972F64" w:rsidRPr="007F6F58" w:rsidRDefault="00972F64" w:rsidP="00487AC7">
      <w:pPr>
        <w:spacing w:line="260" w:lineRule="exact"/>
        <w:ind w:left="720"/>
        <w:rPr>
          <w:spacing w:val="-5"/>
        </w:rPr>
      </w:pPr>
    </w:p>
    <w:p w14:paraId="3E1F4F42" w14:textId="7659EC55" w:rsidR="001103F7" w:rsidRPr="007F6F58" w:rsidRDefault="001103F7" w:rsidP="00487AC7">
      <w:pPr>
        <w:spacing w:line="260" w:lineRule="exact"/>
        <w:rPr>
          <w:color w:val="000000"/>
          <w:spacing w:val="-5"/>
        </w:rPr>
      </w:pPr>
      <w:r w:rsidRPr="007F6F58">
        <w:rPr>
          <w:color w:val="000000"/>
          <w:spacing w:val="-5"/>
        </w:rPr>
        <w:t>NOTA a los pacientes: Los siguientes requisitos de acciones extraordinarias de cobro se aplican específicamente a los servicios de SHG y a los servicios prestados por SPG en instalaciones de SHG (hospital).  SPG y VNA pueden, pero no están obligados, a seguir los procesos específicos que se describen a continuación.</w:t>
      </w:r>
    </w:p>
    <w:p w14:paraId="256DCA3B" w14:textId="77777777" w:rsidR="001103F7" w:rsidRPr="007F6F58" w:rsidRDefault="001103F7" w:rsidP="00487AC7">
      <w:pPr>
        <w:spacing w:line="260" w:lineRule="exact"/>
        <w:ind w:left="720"/>
        <w:rPr>
          <w:spacing w:val="-5"/>
        </w:rPr>
      </w:pPr>
    </w:p>
    <w:p w14:paraId="174FFE64" w14:textId="44210205" w:rsidR="00972F64" w:rsidRPr="007F6F58" w:rsidRDefault="00A36FD6" w:rsidP="00487AC7">
      <w:pPr>
        <w:numPr>
          <w:ilvl w:val="0"/>
          <w:numId w:val="15"/>
        </w:numPr>
        <w:spacing w:line="260" w:lineRule="exact"/>
        <w:ind w:left="540"/>
        <w:rPr>
          <w:spacing w:val="-5"/>
        </w:rPr>
      </w:pPr>
      <w:r w:rsidRPr="007F6F58">
        <w:rPr>
          <w:color w:val="000000"/>
          <w:spacing w:val="-5"/>
        </w:rPr>
        <w:t>SHG no emprenderá acciones de cobro contra un paciente u otro individuo para obtener el pago de la atención prestada hasta que SHG haya hecho esfuerzos razonables para determinar si el individuo es elegible para recibir asistencia financiera. SHG ofrecerá un período de espera de 120 días antes de realizar los cobros, medidos a partir de la fecha del primer estado financiero posterior al alta.  Durante este tiempo, los pacientes podrán solicitar asistencia financiera y comenzar el proceso de solicitud. SHS hará</w:t>
      </w:r>
      <w:r w:rsidRPr="007F6F58">
        <w:rPr>
          <w:spacing w:val="-5"/>
        </w:rPr>
        <w:t xml:space="preserve"> esfuerzos razonables para determinar la elegibilidad para FAP, incluyendo lo siguiente:</w:t>
      </w:r>
    </w:p>
    <w:p w14:paraId="72DF0C21" w14:textId="77777777" w:rsidR="00972F64" w:rsidRPr="007F6F58" w:rsidRDefault="00EE06D8" w:rsidP="00487AC7">
      <w:pPr>
        <w:numPr>
          <w:ilvl w:val="0"/>
          <w:numId w:val="12"/>
        </w:numPr>
        <w:tabs>
          <w:tab w:val="clear" w:pos="1980"/>
        </w:tabs>
        <w:spacing w:before="100" w:beforeAutospacing="1" w:after="100" w:afterAutospacing="1" w:line="260" w:lineRule="exact"/>
        <w:ind w:left="720"/>
        <w:rPr>
          <w:spacing w:val="-5"/>
        </w:rPr>
      </w:pPr>
      <w:r w:rsidRPr="007F6F58">
        <w:rPr>
          <w:spacing w:val="-5"/>
        </w:rPr>
        <w:t xml:space="preserve">SHS notificará al individuo sobre FAP; </w:t>
      </w:r>
    </w:p>
    <w:p w14:paraId="71E14AF7" w14:textId="77777777" w:rsidR="00972F64" w:rsidRPr="007F6F58" w:rsidRDefault="00972F64" w:rsidP="00487AC7">
      <w:pPr>
        <w:numPr>
          <w:ilvl w:val="0"/>
          <w:numId w:val="12"/>
        </w:numPr>
        <w:tabs>
          <w:tab w:val="clear" w:pos="1980"/>
        </w:tabs>
        <w:spacing w:before="100" w:beforeAutospacing="1" w:after="100" w:afterAutospacing="1" w:line="260" w:lineRule="exact"/>
        <w:ind w:left="720"/>
        <w:rPr>
          <w:spacing w:val="-5"/>
        </w:rPr>
      </w:pPr>
      <w:r w:rsidRPr="007F6F58">
        <w:rPr>
          <w:spacing w:val="-5"/>
        </w:rPr>
        <w:t xml:space="preserve">En el caso de un individuo que presente una solicitud de FAP incompleta, SHS debe proporcionarle la información pertinente para completar la solicitud de FAP; y </w:t>
      </w:r>
    </w:p>
    <w:p w14:paraId="6B05E508" w14:textId="58E00DDB" w:rsidR="00972F64" w:rsidRPr="007F6F58" w:rsidRDefault="00972F64" w:rsidP="00487AC7">
      <w:pPr>
        <w:numPr>
          <w:ilvl w:val="0"/>
          <w:numId w:val="12"/>
        </w:numPr>
        <w:tabs>
          <w:tab w:val="clear" w:pos="1980"/>
        </w:tabs>
        <w:spacing w:before="100" w:beforeAutospacing="1" w:after="100" w:afterAutospacing="1" w:line="260" w:lineRule="exact"/>
        <w:ind w:left="720"/>
        <w:rPr>
          <w:spacing w:val="-5"/>
        </w:rPr>
      </w:pPr>
      <w:r w:rsidRPr="007F6F58">
        <w:rPr>
          <w:spacing w:val="-5"/>
        </w:rPr>
        <w:t>En el caso de un individuo que presente una solicitud de FAP completa, SHS tomará y documentará una determinación sobre si el individuo es elegible para FAP.</w:t>
      </w:r>
    </w:p>
    <w:p w14:paraId="2680714A" w14:textId="48861822" w:rsidR="001072FF" w:rsidRPr="007F6F58" w:rsidRDefault="001072FF" w:rsidP="00487AC7">
      <w:pPr>
        <w:numPr>
          <w:ilvl w:val="0"/>
          <w:numId w:val="12"/>
        </w:numPr>
        <w:tabs>
          <w:tab w:val="clear" w:pos="1980"/>
        </w:tabs>
        <w:spacing w:before="100" w:beforeAutospacing="1" w:after="100" w:afterAutospacing="1" w:line="260" w:lineRule="exact"/>
        <w:ind w:left="720"/>
        <w:rPr>
          <w:spacing w:val="-5"/>
        </w:rPr>
      </w:pPr>
      <w:r w:rsidRPr="007F6F58">
        <w:rPr>
          <w:spacing w:val="-5"/>
        </w:rPr>
        <w:lastRenderedPageBreak/>
        <w:t>SHS incluirá un resumen en lenguaje sencillo de su FAP en al menos un resumen posterior al alta.</w:t>
      </w:r>
    </w:p>
    <w:p w14:paraId="5B58B175" w14:textId="2CFB895A" w:rsidR="001072FF" w:rsidRPr="007F6F58" w:rsidRDefault="001072FF" w:rsidP="00487AC7">
      <w:pPr>
        <w:numPr>
          <w:ilvl w:val="0"/>
          <w:numId w:val="12"/>
        </w:numPr>
        <w:tabs>
          <w:tab w:val="clear" w:pos="1980"/>
        </w:tabs>
        <w:spacing w:before="100" w:beforeAutospacing="1" w:after="100" w:afterAutospacing="1" w:line="260" w:lineRule="exact"/>
        <w:ind w:left="720"/>
        <w:rPr>
          <w:spacing w:val="-5"/>
        </w:rPr>
      </w:pPr>
      <w:r w:rsidRPr="007F6F58">
        <w:rPr>
          <w:spacing w:val="-5"/>
        </w:rPr>
        <w:t>SHG proporcionará a cada paciente que deba un saldo una notificación final que establezca una fecha límite en la que se pueden producir ECA, que será al menos 30 días a partir de la fecha de la notificación final y al menos 120 días a partir de la fecha de la primera declaración posterior al alta del paciente.</w:t>
      </w:r>
    </w:p>
    <w:p w14:paraId="5C30551F" w14:textId="0603EBC8" w:rsidR="00972F64" w:rsidRPr="007F6F58" w:rsidRDefault="001103F7" w:rsidP="00487AC7">
      <w:pPr>
        <w:numPr>
          <w:ilvl w:val="0"/>
          <w:numId w:val="16"/>
        </w:numPr>
        <w:tabs>
          <w:tab w:val="clear" w:pos="900"/>
        </w:tabs>
        <w:spacing w:line="260" w:lineRule="exact"/>
        <w:ind w:left="540"/>
        <w:rPr>
          <w:spacing w:val="-5"/>
        </w:rPr>
      </w:pPr>
      <w:r w:rsidRPr="007F6F58">
        <w:rPr>
          <w:spacing w:val="-5"/>
        </w:rPr>
        <w:t>A los efectos de la presente política, ECA incluyen lo siguiente</w:t>
      </w:r>
    </w:p>
    <w:p w14:paraId="453E71C9" w14:textId="77777777" w:rsidR="00972F64" w:rsidRPr="007F6F58" w:rsidRDefault="00972F64" w:rsidP="00487AC7">
      <w:pPr>
        <w:spacing w:line="260" w:lineRule="exact"/>
        <w:ind w:left="1620" w:firstLine="180"/>
        <w:rPr>
          <w:spacing w:val="-5"/>
        </w:rPr>
      </w:pPr>
    </w:p>
    <w:p w14:paraId="5C93AA12" w14:textId="0B5BC793" w:rsidR="001103F7" w:rsidRPr="007F6F58" w:rsidRDefault="001103F7" w:rsidP="00487AC7">
      <w:pPr>
        <w:pStyle w:val="ListParagraph"/>
        <w:numPr>
          <w:ilvl w:val="1"/>
          <w:numId w:val="17"/>
        </w:numPr>
        <w:spacing w:after="240" w:line="260" w:lineRule="exact"/>
        <w:ind w:left="720"/>
        <w:contextualSpacing/>
        <w:rPr>
          <w:spacing w:val="-5"/>
        </w:rPr>
      </w:pPr>
      <w:r w:rsidRPr="007F6F58">
        <w:rPr>
          <w:spacing w:val="-5"/>
        </w:rPr>
        <w:t>La venta de la deuda de un individuo a otra parte;</w:t>
      </w:r>
    </w:p>
    <w:p w14:paraId="5B041B75" w14:textId="5B4B9AE1" w:rsidR="001103F7" w:rsidRPr="007F6F58" w:rsidRDefault="001103F7" w:rsidP="00487AC7">
      <w:pPr>
        <w:pStyle w:val="ListParagraph"/>
        <w:numPr>
          <w:ilvl w:val="1"/>
          <w:numId w:val="17"/>
        </w:numPr>
        <w:spacing w:after="240" w:line="260" w:lineRule="exact"/>
        <w:ind w:left="720"/>
        <w:contextualSpacing/>
        <w:rPr>
          <w:spacing w:val="-5"/>
        </w:rPr>
      </w:pPr>
      <w:r w:rsidRPr="007F6F58">
        <w:rPr>
          <w:spacing w:val="-5"/>
        </w:rPr>
        <w:t>Informar de información adversa sobre un individuo a las agencias de información crediticia del consumidor o a las oficinas de crédito;</w:t>
      </w:r>
    </w:p>
    <w:p w14:paraId="19B26CD5" w14:textId="45ECBCBD" w:rsidR="001103F7" w:rsidRPr="007F6F58" w:rsidRDefault="001103F7" w:rsidP="00487AC7">
      <w:pPr>
        <w:pStyle w:val="ListParagraph"/>
        <w:numPr>
          <w:ilvl w:val="1"/>
          <w:numId w:val="17"/>
        </w:numPr>
        <w:spacing w:after="240" w:line="260" w:lineRule="exact"/>
        <w:ind w:left="720"/>
        <w:contextualSpacing/>
        <w:rPr>
          <w:spacing w:val="-5"/>
        </w:rPr>
      </w:pPr>
      <w:r w:rsidRPr="007F6F58">
        <w:rPr>
          <w:color w:val="000000"/>
          <w:spacing w:val="-5"/>
          <w:shd w:val="clear" w:color="auto" w:fill="FFFFFF"/>
        </w:rPr>
        <w:t>Aplazar o denegar, o exigir un pago antes de proporcionar, la atención médicamente necesaria debido a la falta de pago por parte de un individuo de una o más facturas por la atención previamente proporcionada cubierta por FAP del centro hospitalario;</w:t>
      </w:r>
    </w:p>
    <w:p w14:paraId="26117C66" w14:textId="26544411" w:rsidR="001103F7" w:rsidRPr="007F6F58" w:rsidRDefault="001103F7" w:rsidP="00487AC7">
      <w:pPr>
        <w:pStyle w:val="ListParagraph"/>
        <w:numPr>
          <w:ilvl w:val="1"/>
          <w:numId w:val="17"/>
        </w:numPr>
        <w:spacing w:after="240" w:line="260" w:lineRule="exact"/>
        <w:ind w:left="720"/>
        <w:contextualSpacing/>
        <w:rPr>
          <w:spacing w:val="-5"/>
        </w:rPr>
      </w:pPr>
      <w:r w:rsidRPr="007F6F58">
        <w:rPr>
          <w:spacing w:val="-5"/>
        </w:rPr>
        <w:t>Tomar medidas que requieran un proceso legal o judicial, incluyendo:</w:t>
      </w:r>
    </w:p>
    <w:p w14:paraId="079FF89A" w14:textId="3A5FB2E1" w:rsidR="00972F64" w:rsidRPr="007F6F58" w:rsidRDefault="00972F64" w:rsidP="00487AC7">
      <w:pPr>
        <w:pStyle w:val="ListParagraph"/>
        <w:numPr>
          <w:ilvl w:val="2"/>
          <w:numId w:val="17"/>
        </w:numPr>
        <w:spacing w:after="240" w:line="260" w:lineRule="exact"/>
        <w:contextualSpacing/>
        <w:rPr>
          <w:spacing w:val="-5"/>
        </w:rPr>
      </w:pPr>
      <w:r w:rsidRPr="007F6F58">
        <w:rPr>
          <w:spacing w:val="-5"/>
        </w:rPr>
        <w:t>Colocar un gravamen sobre la propiedad de un individuo;</w:t>
      </w:r>
    </w:p>
    <w:p w14:paraId="1F10D17D" w14:textId="77777777" w:rsidR="00972F64" w:rsidRPr="007F6F58" w:rsidRDefault="00972F64" w:rsidP="00487AC7">
      <w:pPr>
        <w:pStyle w:val="ListParagraph"/>
        <w:numPr>
          <w:ilvl w:val="2"/>
          <w:numId w:val="17"/>
        </w:numPr>
        <w:spacing w:after="240" w:line="260" w:lineRule="exact"/>
        <w:contextualSpacing/>
        <w:rPr>
          <w:spacing w:val="-5"/>
        </w:rPr>
      </w:pPr>
      <w:r w:rsidRPr="007F6F58">
        <w:rPr>
          <w:spacing w:val="-5"/>
        </w:rPr>
        <w:t>La ejecución de una hipoteca sobre bienes inmuebles;</w:t>
      </w:r>
    </w:p>
    <w:p w14:paraId="63415BF6" w14:textId="77777777" w:rsidR="00972F64" w:rsidRPr="007F6F58" w:rsidRDefault="00972F64" w:rsidP="00487AC7">
      <w:pPr>
        <w:pStyle w:val="ListParagraph"/>
        <w:numPr>
          <w:ilvl w:val="2"/>
          <w:numId w:val="17"/>
        </w:numPr>
        <w:tabs>
          <w:tab w:val="left" w:pos="720"/>
        </w:tabs>
        <w:spacing w:after="240" w:line="260" w:lineRule="exact"/>
        <w:contextualSpacing/>
        <w:rPr>
          <w:spacing w:val="-5"/>
        </w:rPr>
      </w:pPr>
      <w:r w:rsidRPr="007F6F58">
        <w:rPr>
          <w:spacing w:val="-5"/>
        </w:rPr>
        <w:t>Embargar o confiscar una cuenta bancaria o cualquier otro bien personal;</w:t>
      </w:r>
    </w:p>
    <w:p w14:paraId="5D71C502" w14:textId="77777777" w:rsidR="00972F64" w:rsidRPr="007F6F58" w:rsidRDefault="00972F64" w:rsidP="00487AC7">
      <w:pPr>
        <w:pStyle w:val="ListParagraph"/>
        <w:numPr>
          <w:ilvl w:val="2"/>
          <w:numId w:val="17"/>
        </w:numPr>
        <w:spacing w:after="240" w:line="260" w:lineRule="exact"/>
        <w:contextualSpacing/>
        <w:rPr>
          <w:spacing w:val="-5"/>
        </w:rPr>
      </w:pPr>
      <w:r w:rsidRPr="007F6F58">
        <w:rPr>
          <w:spacing w:val="-5"/>
        </w:rPr>
        <w:t xml:space="preserve">Iniciar una acción civil contra un individuo; </w:t>
      </w:r>
    </w:p>
    <w:p w14:paraId="709FB2FE" w14:textId="77777777" w:rsidR="00972F64" w:rsidRPr="007F6F58" w:rsidRDefault="00972F64" w:rsidP="00487AC7">
      <w:pPr>
        <w:pStyle w:val="ListParagraph"/>
        <w:numPr>
          <w:ilvl w:val="2"/>
          <w:numId w:val="17"/>
        </w:numPr>
        <w:spacing w:after="240" w:line="260" w:lineRule="exact"/>
        <w:contextualSpacing/>
        <w:rPr>
          <w:spacing w:val="-5"/>
        </w:rPr>
      </w:pPr>
      <w:r w:rsidRPr="007F6F58">
        <w:rPr>
          <w:spacing w:val="-5"/>
        </w:rPr>
        <w:t>Causar el arresto de un individuo;</w:t>
      </w:r>
    </w:p>
    <w:p w14:paraId="06FE66A8" w14:textId="77777777" w:rsidR="00CE5ABF" w:rsidRPr="007F6F58" w:rsidRDefault="00972F64" w:rsidP="00487AC7">
      <w:pPr>
        <w:pStyle w:val="ListParagraph"/>
        <w:numPr>
          <w:ilvl w:val="2"/>
          <w:numId w:val="17"/>
        </w:numPr>
        <w:spacing w:after="240" w:line="260" w:lineRule="exact"/>
        <w:contextualSpacing/>
        <w:rPr>
          <w:spacing w:val="-5"/>
        </w:rPr>
      </w:pPr>
      <w:r w:rsidRPr="007F6F58">
        <w:rPr>
          <w:spacing w:val="-5"/>
        </w:rPr>
        <w:t xml:space="preserve">Causar que un individuo esté sujeto a una orden de embargo corporal; y </w:t>
      </w:r>
    </w:p>
    <w:p w14:paraId="39A2AF3D" w14:textId="63259D0D" w:rsidR="002B2419" w:rsidRPr="007F6F58" w:rsidRDefault="00CE5ABF" w:rsidP="00487AC7">
      <w:pPr>
        <w:pStyle w:val="ListParagraph"/>
        <w:numPr>
          <w:ilvl w:val="2"/>
          <w:numId w:val="17"/>
        </w:numPr>
        <w:spacing w:after="240" w:line="260" w:lineRule="exact"/>
        <w:contextualSpacing/>
        <w:rPr>
          <w:spacing w:val="-5"/>
        </w:rPr>
      </w:pPr>
      <w:r w:rsidRPr="007F6F58">
        <w:rPr>
          <w:spacing w:val="-5"/>
        </w:rPr>
        <w:t>Embargar el salario de un individuo.</w:t>
      </w:r>
    </w:p>
    <w:p w14:paraId="31297F78" w14:textId="77777777" w:rsidR="00D71211" w:rsidRPr="007F6F58" w:rsidRDefault="00D71211" w:rsidP="00487AC7">
      <w:pPr>
        <w:numPr>
          <w:ilvl w:val="0"/>
          <w:numId w:val="13"/>
        </w:numPr>
        <w:tabs>
          <w:tab w:val="clear" w:pos="540"/>
          <w:tab w:val="num" w:pos="360"/>
        </w:tabs>
        <w:spacing w:line="260" w:lineRule="exact"/>
        <w:ind w:left="360"/>
        <w:rPr>
          <w:b/>
          <w:color w:val="000000"/>
          <w:spacing w:val="-5"/>
          <w:u w:val="single"/>
        </w:rPr>
      </w:pPr>
      <w:r w:rsidRPr="007F6F58">
        <w:rPr>
          <w:b/>
          <w:color w:val="000000"/>
          <w:spacing w:val="-5"/>
          <w:u w:val="single"/>
        </w:rPr>
        <w:t>Aprobación de deuda incobrable</w:t>
      </w:r>
    </w:p>
    <w:p w14:paraId="200BDCF0" w14:textId="77777777" w:rsidR="00D71211" w:rsidRPr="007F6F58" w:rsidRDefault="00D71211" w:rsidP="00487AC7">
      <w:pPr>
        <w:spacing w:line="260" w:lineRule="exact"/>
        <w:ind w:left="144"/>
        <w:rPr>
          <w:color w:val="000000"/>
          <w:spacing w:val="-5"/>
        </w:rPr>
      </w:pPr>
    </w:p>
    <w:p w14:paraId="02279B76" w14:textId="51FE1EE5" w:rsidR="00424D5F" w:rsidRPr="007F6F58" w:rsidRDefault="00D71211" w:rsidP="00487AC7">
      <w:pPr>
        <w:numPr>
          <w:ilvl w:val="3"/>
          <w:numId w:val="1"/>
        </w:numPr>
        <w:tabs>
          <w:tab w:val="clear" w:pos="1530"/>
        </w:tabs>
        <w:spacing w:line="260" w:lineRule="exact"/>
        <w:ind w:left="540"/>
        <w:rPr>
          <w:color w:val="000000"/>
          <w:spacing w:val="-5"/>
        </w:rPr>
      </w:pPr>
      <w:r w:rsidRPr="007F6F58">
        <w:rPr>
          <w:color w:val="000000"/>
          <w:spacing w:val="-5"/>
        </w:rPr>
        <w:t xml:space="preserve">El gerente de crédito y cobro de SHS o la persona designada revisa la cuenta individual para asegurarse de que se han agotado todos los esfuerzos de cobro, que ha transcurrido un mínimo de 120 días y que se han seguido todas las políticas y procedimientos.  </w:t>
      </w:r>
    </w:p>
    <w:p w14:paraId="4483C127" w14:textId="77777777" w:rsidR="00424D5F" w:rsidRPr="007F6F58" w:rsidRDefault="00424D5F" w:rsidP="00487AC7">
      <w:pPr>
        <w:spacing w:line="260" w:lineRule="exact"/>
        <w:ind w:left="540"/>
        <w:rPr>
          <w:color w:val="000000"/>
          <w:spacing w:val="-5"/>
        </w:rPr>
      </w:pPr>
      <w:r w:rsidRPr="007F6F58">
        <w:rPr>
          <w:color w:val="000000"/>
          <w:spacing w:val="-5"/>
        </w:rPr>
        <w:t xml:space="preserve"> </w:t>
      </w:r>
    </w:p>
    <w:p w14:paraId="0D95D35C" w14:textId="6E12F8B2" w:rsidR="00424D5F" w:rsidRPr="007F6F58" w:rsidRDefault="00EE06D8" w:rsidP="00487AC7">
      <w:pPr>
        <w:numPr>
          <w:ilvl w:val="3"/>
          <w:numId w:val="1"/>
        </w:numPr>
        <w:tabs>
          <w:tab w:val="clear" w:pos="1530"/>
        </w:tabs>
        <w:spacing w:line="260" w:lineRule="exact"/>
        <w:ind w:left="540"/>
        <w:rPr>
          <w:color w:val="000000"/>
          <w:spacing w:val="-5"/>
        </w:rPr>
      </w:pPr>
      <w:r w:rsidRPr="007F6F58">
        <w:rPr>
          <w:color w:val="000000"/>
          <w:spacing w:val="-5"/>
        </w:rPr>
        <w:t xml:space="preserve">SHS hará una comprobación final a través del sistema de </w:t>
      </w:r>
      <w:proofErr w:type="spellStart"/>
      <w:r w:rsidRPr="007F6F58">
        <w:rPr>
          <w:color w:val="000000"/>
          <w:spacing w:val="-5"/>
        </w:rPr>
        <w:t>MassHealth</w:t>
      </w:r>
      <w:proofErr w:type="spellEnd"/>
      <w:r w:rsidRPr="007F6F58">
        <w:rPr>
          <w:color w:val="000000"/>
          <w:spacing w:val="-5"/>
        </w:rPr>
        <w:t xml:space="preserve"> para asegurarse de que el paciente no es un paciente de bajos ingresos según la definición de EOHHS y no ha presentado una solicitud de cobertura de los servicios bajo un programa público, antes de presentar reclamos a la Oficina de HSN para la cobertura de deudas incobrables de emergencia de un nivel de emergencia o servicio de atención urgente.</w:t>
      </w:r>
    </w:p>
    <w:p w14:paraId="47DA20E6" w14:textId="77777777" w:rsidR="00424D5F" w:rsidRPr="007F6F58" w:rsidRDefault="00424D5F" w:rsidP="00487AC7">
      <w:pPr>
        <w:pStyle w:val="ListParagraph"/>
        <w:spacing w:line="260" w:lineRule="exact"/>
        <w:ind w:left="540"/>
        <w:rPr>
          <w:color w:val="000000"/>
          <w:spacing w:val="-5"/>
        </w:rPr>
      </w:pPr>
    </w:p>
    <w:p w14:paraId="162D0567" w14:textId="77777777" w:rsidR="00D71211" w:rsidRPr="007F6F58" w:rsidRDefault="00D71211" w:rsidP="00487AC7">
      <w:pPr>
        <w:numPr>
          <w:ilvl w:val="3"/>
          <w:numId w:val="1"/>
        </w:numPr>
        <w:tabs>
          <w:tab w:val="clear" w:pos="1530"/>
        </w:tabs>
        <w:spacing w:line="260" w:lineRule="exact"/>
        <w:ind w:left="540"/>
        <w:rPr>
          <w:color w:val="000000"/>
          <w:spacing w:val="-5"/>
        </w:rPr>
      </w:pPr>
      <w:r w:rsidRPr="007F6F58">
        <w:rPr>
          <w:color w:val="000000"/>
          <w:spacing w:val="-5"/>
        </w:rPr>
        <w:t>Siguiendo los pasos 1 y 2, el gerente de cuentas de pacientes o su designado y/o el director de cuentas de pacientes aprobará la cancelación de la deuda incobrable.</w:t>
      </w:r>
    </w:p>
    <w:p w14:paraId="5834FED5" w14:textId="77777777" w:rsidR="002B2419" w:rsidRPr="007F6F58" w:rsidRDefault="002B2419" w:rsidP="00487AC7">
      <w:pPr>
        <w:pStyle w:val="ListParagraph"/>
        <w:spacing w:line="260" w:lineRule="exact"/>
        <w:ind w:left="540"/>
        <w:rPr>
          <w:color w:val="000000"/>
          <w:spacing w:val="-5"/>
        </w:rPr>
      </w:pPr>
    </w:p>
    <w:p w14:paraId="042116FC" w14:textId="4081E32B" w:rsidR="003E7972" w:rsidRPr="007F6F58" w:rsidRDefault="00D71211" w:rsidP="00487AC7">
      <w:pPr>
        <w:pStyle w:val="ListParagraph"/>
        <w:numPr>
          <w:ilvl w:val="2"/>
          <w:numId w:val="1"/>
        </w:numPr>
        <w:spacing w:line="260" w:lineRule="exact"/>
        <w:rPr>
          <w:b/>
          <w:color w:val="000000"/>
          <w:spacing w:val="-5"/>
          <w:u w:val="single"/>
        </w:rPr>
      </w:pPr>
      <w:r w:rsidRPr="007F6F58">
        <w:rPr>
          <w:b/>
          <w:color w:val="000000"/>
          <w:spacing w:val="-5"/>
          <w:u w:val="single"/>
        </w:rPr>
        <w:t xml:space="preserve">Excepciones </w:t>
      </w:r>
    </w:p>
    <w:p w14:paraId="51F4C083" w14:textId="77777777" w:rsidR="00D0056F" w:rsidRPr="007F6F58" w:rsidRDefault="00D0056F" w:rsidP="00487AC7">
      <w:pPr>
        <w:pStyle w:val="ListParagraph"/>
        <w:spacing w:line="260" w:lineRule="exact"/>
        <w:ind w:left="504"/>
        <w:rPr>
          <w:b/>
          <w:color w:val="000000"/>
          <w:spacing w:val="-5"/>
          <w:u w:val="single"/>
        </w:rPr>
      </w:pPr>
    </w:p>
    <w:p w14:paraId="047B80B7" w14:textId="77777777" w:rsidR="003E7972" w:rsidRPr="007F6F58" w:rsidRDefault="003E7972" w:rsidP="00487AC7">
      <w:pPr>
        <w:numPr>
          <w:ilvl w:val="5"/>
          <w:numId w:val="1"/>
        </w:numPr>
        <w:tabs>
          <w:tab w:val="clear" w:pos="1530"/>
        </w:tabs>
        <w:spacing w:line="260" w:lineRule="exact"/>
        <w:ind w:left="504"/>
        <w:rPr>
          <w:b/>
          <w:color w:val="000000"/>
          <w:spacing w:val="-5"/>
        </w:rPr>
      </w:pPr>
      <w:r w:rsidRPr="007F6F58">
        <w:rPr>
          <w:b/>
          <w:color w:val="000000"/>
          <w:spacing w:val="-5"/>
        </w:rPr>
        <w:t>Pacientes fallecidos</w:t>
      </w:r>
    </w:p>
    <w:p w14:paraId="1105A4AE" w14:textId="77777777" w:rsidR="003E7972" w:rsidRPr="007F6F58" w:rsidRDefault="003E7972" w:rsidP="00487AC7">
      <w:pPr>
        <w:spacing w:line="260" w:lineRule="exact"/>
        <w:ind w:left="504"/>
        <w:rPr>
          <w:color w:val="000000"/>
          <w:spacing w:val="-5"/>
        </w:rPr>
      </w:pPr>
      <w:r w:rsidRPr="007F6F58">
        <w:rPr>
          <w:color w:val="000000"/>
          <w:spacing w:val="-5"/>
        </w:rPr>
        <w:t xml:space="preserve">En el caso de una cuenta de un paciente fallecido sin patrimonio identificado a través del proceso de cobro, después de ciento veinte (120) días, el saldo puede considerarse una deuda incobrable según las prácticas habituales de cobro.  </w:t>
      </w:r>
    </w:p>
    <w:p w14:paraId="208B6388" w14:textId="77777777" w:rsidR="003E7972" w:rsidRPr="007F6F58" w:rsidRDefault="003E7972" w:rsidP="00487AC7">
      <w:pPr>
        <w:spacing w:line="260" w:lineRule="exact"/>
        <w:ind w:left="2034"/>
        <w:rPr>
          <w:color w:val="000000"/>
          <w:spacing w:val="-5"/>
        </w:rPr>
      </w:pPr>
    </w:p>
    <w:p w14:paraId="1E76145A" w14:textId="77777777" w:rsidR="003E7972" w:rsidRPr="007F6F58" w:rsidRDefault="003E7972" w:rsidP="00487AC7">
      <w:pPr>
        <w:numPr>
          <w:ilvl w:val="7"/>
          <w:numId w:val="1"/>
        </w:numPr>
        <w:tabs>
          <w:tab w:val="clear" w:pos="1530"/>
        </w:tabs>
        <w:spacing w:line="260" w:lineRule="exact"/>
        <w:ind w:left="504"/>
        <w:rPr>
          <w:b/>
          <w:color w:val="000000"/>
          <w:spacing w:val="-5"/>
        </w:rPr>
      </w:pPr>
      <w:r w:rsidRPr="007F6F58">
        <w:rPr>
          <w:b/>
          <w:color w:val="000000"/>
          <w:spacing w:val="-5"/>
        </w:rPr>
        <w:t>Bancarrota</w:t>
      </w:r>
    </w:p>
    <w:p w14:paraId="32F78029" w14:textId="4F369BFC" w:rsidR="003E7972" w:rsidRPr="007F6F58" w:rsidRDefault="003E7972" w:rsidP="005F7C4B">
      <w:pPr>
        <w:spacing w:line="260" w:lineRule="exact"/>
        <w:ind w:left="504"/>
        <w:rPr>
          <w:spacing w:val="-5"/>
        </w:rPr>
      </w:pPr>
      <w:r w:rsidRPr="007F6F58">
        <w:rPr>
          <w:color w:val="000000"/>
          <w:spacing w:val="-5"/>
        </w:rPr>
        <w:t xml:space="preserve">Los pacientes que proporcionen pruebas de bancarrota durante el proceso de cobro serán dados de baja como </w:t>
      </w:r>
      <w:r w:rsidR="005F7C4B">
        <w:rPr>
          <w:color w:val="000000"/>
          <w:spacing w:val="-5"/>
        </w:rPr>
        <w:t>“</w:t>
      </w:r>
      <w:r w:rsidRPr="007F6F58">
        <w:rPr>
          <w:color w:val="000000"/>
          <w:spacing w:val="-5"/>
        </w:rPr>
        <w:t>deuda incobrable</w:t>
      </w:r>
      <w:r w:rsidR="005F7C4B">
        <w:rPr>
          <w:color w:val="000000"/>
          <w:spacing w:val="-5"/>
        </w:rPr>
        <w:t>”</w:t>
      </w:r>
      <w:r w:rsidRPr="007F6F58">
        <w:rPr>
          <w:color w:val="000000"/>
          <w:spacing w:val="-5"/>
        </w:rPr>
        <w:t xml:space="preserve">.  </w:t>
      </w:r>
      <w:r w:rsidRPr="007F6F58">
        <w:rPr>
          <w:spacing w:val="-5"/>
        </w:rPr>
        <w:t>SHS y sus agentes no continuarán con el cobro o la facturación de un paciente que sea miembro de un procedimiento de bancarrota, excepto para asegurar sus derechos como acreedor en el orden apropiado.</w:t>
      </w:r>
    </w:p>
    <w:p w14:paraId="5BFC78F6" w14:textId="77777777" w:rsidR="003E7972" w:rsidRPr="007F6F58" w:rsidRDefault="003E7972" w:rsidP="00487AC7">
      <w:pPr>
        <w:spacing w:line="260" w:lineRule="exact"/>
        <w:ind w:left="504"/>
        <w:rPr>
          <w:color w:val="000000"/>
          <w:spacing w:val="-5"/>
        </w:rPr>
      </w:pPr>
    </w:p>
    <w:p w14:paraId="7FB96DEC" w14:textId="77777777" w:rsidR="003E7972" w:rsidRPr="007F6F58" w:rsidRDefault="003E7972" w:rsidP="00487AC7">
      <w:pPr>
        <w:spacing w:line="260" w:lineRule="exact"/>
        <w:ind w:left="504" w:hanging="360"/>
        <w:rPr>
          <w:b/>
          <w:color w:val="000000"/>
          <w:spacing w:val="-5"/>
        </w:rPr>
      </w:pPr>
      <w:r w:rsidRPr="007F6F58">
        <w:rPr>
          <w:b/>
          <w:color w:val="000000"/>
          <w:spacing w:val="-5"/>
        </w:rPr>
        <w:lastRenderedPageBreak/>
        <w:t xml:space="preserve">3.   Pacientes encarcelados </w:t>
      </w:r>
    </w:p>
    <w:p w14:paraId="07BB00E8" w14:textId="77777777" w:rsidR="003E7972" w:rsidRPr="007F6F58" w:rsidRDefault="003E7972" w:rsidP="00487AC7">
      <w:pPr>
        <w:spacing w:line="260" w:lineRule="exact"/>
        <w:ind w:left="504"/>
        <w:rPr>
          <w:color w:val="000000"/>
          <w:spacing w:val="-5"/>
        </w:rPr>
      </w:pPr>
      <w:r w:rsidRPr="007F6F58">
        <w:rPr>
          <w:color w:val="000000"/>
          <w:spacing w:val="-5"/>
        </w:rPr>
        <w:t>Los pacientes que se verifique que están encarcelados durante el proceso de cobro serán dados de baja como deudas incobrables después de ciento veinte (120) días de agotar los esfuerzos de cobro de cualquier asegurador tercero existente, siguiendo las prácticas de cobro estándar.</w:t>
      </w:r>
    </w:p>
    <w:p w14:paraId="2C1E75A9" w14:textId="77777777" w:rsidR="003E7972" w:rsidRPr="007F6F58" w:rsidRDefault="003E7972" w:rsidP="00487AC7">
      <w:pPr>
        <w:pStyle w:val="ListParagraph"/>
        <w:spacing w:line="260" w:lineRule="exact"/>
        <w:ind w:left="504"/>
        <w:rPr>
          <w:b/>
          <w:color w:val="000000"/>
          <w:spacing w:val="-5"/>
          <w:u w:val="single"/>
        </w:rPr>
      </w:pPr>
    </w:p>
    <w:p w14:paraId="2794A2C5" w14:textId="77777777" w:rsidR="003E7972" w:rsidRPr="007F6F58" w:rsidRDefault="003E7972" w:rsidP="00487AC7">
      <w:pPr>
        <w:pStyle w:val="ListParagraph"/>
        <w:numPr>
          <w:ilvl w:val="2"/>
          <w:numId w:val="1"/>
        </w:numPr>
        <w:spacing w:line="260" w:lineRule="exact"/>
        <w:rPr>
          <w:b/>
          <w:color w:val="000000"/>
          <w:spacing w:val="-5"/>
          <w:u w:val="single"/>
        </w:rPr>
      </w:pPr>
      <w:r w:rsidRPr="007F6F58">
        <w:rPr>
          <w:b/>
          <w:color w:val="000000"/>
          <w:spacing w:val="-5"/>
          <w:u w:val="single"/>
        </w:rPr>
        <w:t>Circunstancias especiales</w:t>
      </w:r>
    </w:p>
    <w:p w14:paraId="0C353942" w14:textId="77777777" w:rsidR="003E7972" w:rsidRPr="007F6F58" w:rsidRDefault="003E7972" w:rsidP="00487AC7">
      <w:pPr>
        <w:pStyle w:val="ListParagraph"/>
        <w:spacing w:line="260" w:lineRule="exact"/>
        <w:ind w:left="504"/>
        <w:rPr>
          <w:b/>
          <w:color w:val="000000"/>
          <w:spacing w:val="-5"/>
          <w:u w:val="single"/>
        </w:rPr>
      </w:pPr>
    </w:p>
    <w:p w14:paraId="70E25CB6" w14:textId="77777777" w:rsidR="003E7972" w:rsidRPr="007F6F58" w:rsidRDefault="003E7972" w:rsidP="00487AC7">
      <w:pPr>
        <w:pStyle w:val="ListParagraph"/>
        <w:numPr>
          <w:ilvl w:val="0"/>
          <w:numId w:val="59"/>
        </w:numPr>
        <w:spacing w:line="260" w:lineRule="exact"/>
        <w:rPr>
          <w:b/>
          <w:color w:val="000000"/>
          <w:spacing w:val="-5"/>
        </w:rPr>
      </w:pPr>
      <w:r w:rsidRPr="007F6F58">
        <w:rPr>
          <w:b/>
          <w:color w:val="000000"/>
          <w:spacing w:val="-5"/>
        </w:rPr>
        <w:t>Compensación de los trabajadores</w:t>
      </w:r>
    </w:p>
    <w:p w14:paraId="370B93C0" w14:textId="77777777" w:rsidR="00F01130" w:rsidRPr="007F6F58" w:rsidRDefault="00F01130" w:rsidP="00487AC7">
      <w:pPr>
        <w:pStyle w:val="ListParagraph"/>
        <w:spacing w:line="260" w:lineRule="exact"/>
        <w:rPr>
          <w:color w:val="000000"/>
          <w:spacing w:val="-5"/>
        </w:rPr>
      </w:pPr>
      <w:r w:rsidRPr="007F6F58">
        <w:rPr>
          <w:color w:val="000000"/>
          <w:spacing w:val="-5"/>
        </w:rPr>
        <w:t xml:space="preserve">Los servicios relacionados con los accidentes de trabajo deben estar debidamente etiquetados en el registro de inscripción y facturados al pagador de la indemnización por accidentes de trabajo para el reembolso de los servicios.  </w:t>
      </w:r>
    </w:p>
    <w:p w14:paraId="522FFA4D" w14:textId="77777777" w:rsidR="003E7972" w:rsidRPr="007F6F58" w:rsidRDefault="003E7972" w:rsidP="00487AC7">
      <w:pPr>
        <w:spacing w:line="260" w:lineRule="exact"/>
        <w:ind w:left="1890"/>
        <w:rPr>
          <w:color w:val="000000"/>
          <w:spacing w:val="-5"/>
        </w:rPr>
      </w:pPr>
    </w:p>
    <w:p w14:paraId="15A235BD" w14:textId="77777777" w:rsidR="003E7972" w:rsidRPr="007F6F58" w:rsidRDefault="003E7972" w:rsidP="00487AC7">
      <w:pPr>
        <w:pStyle w:val="ListParagraph"/>
        <w:numPr>
          <w:ilvl w:val="0"/>
          <w:numId w:val="59"/>
        </w:numPr>
        <w:spacing w:line="260" w:lineRule="exact"/>
        <w:rPr>
          <w:b/>
          <w:color w:val="000000"/>
          <w:spacing w:val="-5"/>
        </w:rPr>
      </w:pPr>
      <w:r w:rsidRPr="007F6F58">
        <w:rPr>
          <w:b/>
          <w:color w:val="000000"/>
          <w:spacing w:val="-5"/>
        </w:rPr>
        <w:t>Responsabilidad de terceros</w:t>
      </w:r>
    </w:p>
    <w:p w14:paraId="0AF45E5E" w14:textId="382E2ED8" w:rsidR="00F01130" w:rsidRPr="007F6F58" w:rsidRDefault="005F5C0F" w:rsidP="00487AC7">
      <w:pPr>
        <w:pStyle w:val="ListParagraph"/>
        <w:spacing w:line="260" w:lineRule="exact"/>
        <w:rPr>
          <w:color w:val="000000"/>
          <w:spacing w:val="-5"/>
        </w:rPr>
      </w:pPr>
      <w:r w:rsidRPr="007F6F58">
        <w:rPr>
          <w:color w:val="000000"/>
          <w:spacing w:val="-5"/>
        </w:rPr>
        <w:t>Acc</w:t>
      </w:r>
      <w:r w:rsidR="00C06C58">
        <w:rPr>
          <w:color w:val="000000"/>
          <w:spacing w:val="-5"/>
        </w:rPr>
        <w:t>identes de Vehículos de Motor (“</w:t>
      </w:r>
      <w:r w:rsidRPr="007F6F58">
        <w:rPr>
          <w:color w:val="000000"/>
          <w:spacing w:val="-5"/>
        </w:rPr>
        <w:t>MVA</w:t>
      </w:r>
      <w:r w:rsidR="00C06C58">
        <w:rPr>
          <w:color w:val="000000"/>
          <w:spacing w:val="-5"/>
        </w:rPr>
        <w:t>”</w:t>
      </w:r>
      <w:r w:rsidRPr="007F6F58">
        <w:rPr>
          <w:color w:val="000000"/>
          <w:spacing w:val="-5"/>
        </w:rPr>
        <w:t>, por sus siglas en inglés) y Responsabilidad de Terceros; Los servicios relacionados con un MVA u otro tercero deben ser identificados y se harán esfuerzos diligentes para facturar y cobrar el pago de la(s) parte(s) responsable(s).</w:t>
      </w:r>
    </w:p>
    <w:p w14:paraId="5BD4F34B" w14:textId="77777777" w:rsidR="003E7972" w:rsidRPr="007F6F58" w:rsidRDefault="003E7972" w:rsidP="00487AC7">
      <w:pPr>
        <w:spacing w:line="260" w:lineRule="exact"/>
        <w:ind w:left="360"/>
        <w:rPr>
          <w:color w:val="000000"/>
          <w:spacing w:val="-5"/>
        </w:rPr>
      </w:pPr>
    </w:p>
    <w:p w14:paraId="13867877" w14:textId="77777777" w:rsidR="003E7972" w:rsidRPr="007F6F58" w:rsidRDefault="003E7972" w:rsidP="00487AC7">
      <w:pPr>
        <w:pStyle w:val="ListParagraph"/>
        <w:numPr>
          <w:ilvl w:val="0"/>
          <w:numId w:val="59"/>
        </w:numPr>
        <w:spacing w:line="260" w:lineRule="exact"/>
        <w:rPr>
          <w:b/>
          <w:color w:val="000000"/>
          <w:spacing w:val="-5"/>
        </w:rPr>
      </w:pPr>
      <w:r w:rsidRPr="007F6F58">
        <w:rPr>
          <w:b/>
          <w:color w:val="000000"/>
          <w:spacing w:val="-5"/>
        </w:rPr>
        <w:t xml:space="preserve">Víctimas de delitos violentos </w:t>
      </w:r>
    </w:p>
    <w:p w14:paraId="28C81625" w14:textId="77777777" w:rsidR="002321C2" w:rsidRPr="007F6F58" w:rsidRDefault="002321C2" w:rsidP="00487AC7">
      <w:pPr>
        <w:pStyle w:val="ListParagraph"/>
        <w:spacing w:line="260" w:lineRule="exact"/>
        <w:rPr>
          <w:color w:val="000000"/>
          <w:spacing w:val="-5"/>
        </w:rPr>
      </w:pPr>
      <w:r w:rsidRPr="007F6F58">
        <w:rPr>
          <w:color w:val="000000"/>
          <w:spacing w:val="-5"/>
        </w:rPr>
        <w:t>Los servicios relacionados con las víctimas de delitos violentos deben identificarse adecuadamente y deben agotarse los fondos para compensar los gastos médicos que de otro modo no están cubiertos por el seguro médico.</w:t>
      </w:r>
    </w:p>
    <w:p w14:paraId="1F0643AA" w14:textId="77777777" w:rsidR="002321C2" w:rsidRPr="007F6F58" w:rsidRDefault="002321C2" w:rsidP="00487AC7">
      <w:pPr>
        <w:spacing w:line="260" w:lineRule="exact"/>
        <w:rPr>
          <w:color w:val="000000"/>
          <w:spacing w:val="-5"/>
        </w:rPr>
      </w:pPr>
    </w:p>
    <w:p w14:paraId="4E5E8967" w14:textId="77777777" w:rsidR="007E7B4B" w:rsidRPr="007F6F58" w:rsidRDefault="007E7B4B" w:rsidP="00487AC7">
      <w:pPr>
        <w:pStyle w:val="ListParagraph"/>
        <w:numPr>
          <w:ilvl w:val="0"/>
          <w:numId w:val="59"/>
        </w:numPr>
        <w:spacing w:line="260" w:lineRule="exact"/>
        <w:rPr>
          <w:b/>
          <w:color w:val="000000"/>
          <w:spacing w:val="-5"/>
        </w:rPr>
      </w:pPr>
      <w:r w:rsidRPr="007F6F58">
        <w:rPr>
          <w:b/>
          <w:color w:val="000000"/>
          <w:spacing w:val="-5"/>
        </w:rPr>
        <w:t>Solicitud confidencial</w:t>
      </w:r>
    </w:p>
    <w:p w14:paraId="1BCA1A8C" w14:textId="77777777" w:rsidR="002321C2" w:rsidRPr="007F6F58" w:rsidRDefault="002321C2" w:rsidP="00487AC7">
      <w:pPr>
        <w:pStyle w:val="ListParagraph"/>
        <w:spacing w:line="260" w:lineRule="exact"/>
        <w:rPr>
          <w:color w:val="000000"/>
          <w:spacing w:val="-5"/>
        </w:rPr>
      </w:pPr>
      <w:r w:rsidRPr="007F6F58">
        <w:rPr>
          <w:color w:val="000000"/>
          <w:spacing w:val="-5"/>
        </w:rPr>
        <w:t>Las solicitudes pueden presentarse en dos circunstancias y ser remitidas a la Consejería Financiera del Paciente para completarlas.</w:t>
      </w:r>
    </w:p>
    <w:p w14:paraId="33693671" w14:textId="77777777" w:rsidR="002321C2" w:rsidRPr="007F6F58" w:rsidRDefault="002321C2" w:rsidP="00487AC7">
      <w:pPr>
        <w:spacing w:line="260" w:lineRule="exact"/>
        <w:rPr>
          <w:b/>
          <w:color w:val="000000"/>
          <w:spacing w:val="-5"/>
        </w:rPr>
      </w:pPr>
    </w:p>
    <w:p w14:paraId="665A4EC3" w14:textId="358A3DE7" w:rsidR="007E7B4B" w:rsidRPr="007F6F58" w:rsidRDefault="007E7B4B" w:rsidP="00487AC7">
      <w:pPr>
        <w:pStyle w:val="ListParagraph"/>
        <w:numPr>
          <w:ilvl w:val="1"/>
          <w:numId w:val="59"/>
        </w:numPr>
        <w:spacing w:line="260" w:lineRule="exact"/>
        <w:rPr>
          <w:color w:val="000000"/>
          <w:spacing w:val="-5"/>
        </w:rPr>
      </w:pPr>
      <w:r w:rsidRPr="007F6F58">
        <w:rPr>
          <w:b/>
          <w:color w:val="000000"/>
          <w:spacing w:val="-5"/>
        </w:rPr>
        <w:t xml:space="preserve">Menores – </w:t>
      </w:r>
      <w:r w:rsidRPr="007F6F58">
        <w:rPr>
          <w:color w:val="000000"/>
          <w:spacing w:val="-5"/>
        </w:rPr>
        <w:t xml:space="preserve">Se pueden presentar solicitudes confidenciales para menores que se presenten a servicios de planificación familiar y a servicios relacionados con enfermedades de transmisión sexual sin tener en cuenta los ingresos familiares.  </w:t>
      </w:r>
    </w:p>
    <w:p w14:paraId="1375985E" w14:textId="77777777" w:rsidR="00D0056F" w:rsidRPr="007F6F58" w:rsidRDefault="00D0056F" w:rsidP="00487AC7">
      <w:pPr>
        <w:pStyle w:val="ListParagraph"/>
        <w:spacing w:line="260" w:lineRule="exact"/>
        <w:ind w:left="1440"/>
        <w:rPr>
          <w:color w:val="000000"/>
          <w:spacing w:val="-5"/>
        </w:rPr>
      </w:pPr>
    </w:p>
    <w:p w14:paraId="318C7425" w14:textId="77777777" w:rsidR="007E7B4B" w:rsidRPr="007F6F58" w:rsidRDefault="007E7B4B" w:rsidP="00487AC7">
      <w:pPr>
        <w:pStyle w:val="ListParagraph"/>
        <w:numPr>
          <w:ilvl w:val="1"/>
          <w:numId w:val="59"/>
        </w:numPr>
        <w:spacing w:line="260" w:lineRule="exact"/>
        <w:rPr>
          <w:color w:val="000000"/>
          <w:spacing w:val="-5"/>
        </w:rPr>
      </w:pPr>
      <w:r w:rsidRPr="007F6F58">
        <w:rPr>
          <w:b/>
          <w:bCs/>
          <w:color w:val="000000"/>
          <w:spacing w:val="-5"/>
        </w:rPr>
        <w:t>Personas maltratadas o abusadas</w:t>
      </w:r>
      <w:r w:rsidRPr="007F6F58">
        <w:rPr>
          <w:color w:val="000000"/>
          <w:spacing w:val="-5"/>
        </w:rPr>
        <w:t xml:space="preserve"> – estas personas también pueden solicitar la cobertura de HSN en base a sus ingresos individuales.  </w:t>
      </w:r>
    </w:p>
    <w:p w14:paraId="74507918" w14:textId="77777777" w:rsidR="007E7B4B" w:rsidRPr="007F6F58" w:rsidRDefault="007E7B4B" w:rsidP="00487AC7">
      <w:pPr>
        <w:spacing w:line="260" w:lineRule="exact"/>
        <w:rPr>
          <w:b/>
          <w:color w:val="000000"/>
          <w:spacing w:val="-5"/>
        </w:rPr>
      </w:pPr>
    </w:p>
    <w:p w14:paraId="4E427CC3" w14:textId="77777777" w:rsidR="007E7B4B" w:rsidRPr="007F6F58" w:rsidRDefault="007E7B4B" w:rsidP="00487AC7">
      <w:pPr>
        <w:pStyle w:val="ListParagraph"/>
        <w:numPr>
          <w:ilvl w:val="0"/>
          <w:numId w:val="59"/>
        </w:numPr>
        <w:spacing w:line="260" w:lineRule="exact"/>
        <w:rPr>
          <w:b/>
          <w:color w:val="000000"/>
          <w:spacing w:val="-5"/>
        </w:rPr>
      </w:pPr>
      <w:r w:rsidRPr="007F6F58">
        <w:rPr>
          <w:b/>
          <w:color w:val="000000"/>
          <w:spacing w:val="-5"/>
        </w:rPr>
        <w:t>Estudios de investigación (ensayos clínicos)</w:t>
      </w:r>
    </w:p>
    <w:p w14:paraId="67B9262B" w14:textId="77777777" w:rsidR="002321C2" w:rsidRPr="007F6F58" w:rsidRDefault="002321C2" w:rsidP="00487AC7">
      <w:pPr>
        <w:pStyle w:val="ListParagraph"/>
        <w:spacing w:line="260" w:lineRule="exact"/>
        <w:rPr>
          <w:color w:val="000000"/>
          <w:spacing w:val="-5"/>
        </w:rPr>
      </w:pPr>
      <w:r w:rsidRPr="007F6F58">
        <w:rPr>
          <w:color w:val="000000"/>
          <w:spacing w:val="-5"/>
        </w:rPr>
        <w:t>Los servicios relacionados con los estudios de investigación deben anotarse en el momento de la inscripción en ese servicio y etiquetarse para asegurar que los cargos por esos servicios se presenten al fondo de investigación designado.</w:t>
      </w:r>
    </w:p>
    <w:p w14:paraId="44FA3DF3" w14:textId="77777777" w:rsidR="007E7B4B" w:rsidRPr="007F6F58" w:rsidRDefault="007E7B4B" w:rsidP="00487AC7">
      <w:pPr>
        <w:spacing w:line="260" w:lineRule="exact"/>
        <w:ind w:left="360" w:hanging="360"/>
        <w:rPr>
          <w:b/>
          <w:color w:val="000000"/>
          <w:spacing w:val="-5"/>
        </w:rPr>
      </w:pPr>
    </w:p>
    <w:p w14:paraId="4F27768F" w14:textId="77777777" w:rsidR="009C0790" w:rsidRPr="007F6F58" w:rsidRDefault="00D123FC" w:rsidP="00487AC7">
      <w:pPr>
        <w:pStyle w:val="ListParagraph"/>
        <w:spacing w:line="260" w:lineRule="exact"/>
        <w:ind w:left="0"/>
        <w:rPr>
          <w:b/>
          <w:color w:val="000000"/>
          <w:spacing w:val="-5"/>
        </w:rPr>
      </w:pPr>
      <w:r w:rsidRPr="007F6F58">
        <w:rPr>
          <w:rFonts w:ascii="Cambria" w:hAnsi="Cambria"/>
          <w:b/>
          <w:smallCaps/>
          <w:color w:val="000000"/>
          <w:spacing w:val="-5"/>
        </w:rPr>
        <w:t>IV</w:t>
      </w:r>
      <w:r w:rsidRPr="007F6F58">
        <w:rPr>
          <w:b/>
          <w:smallCaps/>
          <w:color w:val="000000"/>
          <w:spacing w:val="-5"/>
        </w:rPr>
        <w:t>.</w:t>
      </w:r>
      <w:r w:rsidRPr="007F6F58">
        <w:rPr>
          <w:b/>
          <w:color w:val="000000"/>
          <w:spacing w:val="-5"/>
        </w:rPr>
        <w:t xml:space="preserve">   Eventos graves </w:t>
      </w:r>
      <w:proofErr w:type="spellStart"/>
      <w:r w:rsidRPr="007F6F58">
        <w:rPr>
          <w:b/>
          <w:color w:val="000000"/>
          <w:spacing w:val="-5"/>
        </w:rPr>
        <w:t>notificables</w:t>
      </w:r>
      <w:proofErr w:type="spellEnd"/>
      <w:r w:rsidRPr="007F6F58">
        <w:rPr>
          <w:b/>
          <w:color w:val="000000"/>
          <w:spacing w:val="-5"/>
        </w:rPr>
        <w:t xml:space="preserve"> (SRE, por sus siglas en inglés)</w:t>
      </w:r>
    </w:p>
    <w:p w14:paraId="37FC1947" w14:textId="77777777" w:rsidR="009C0790" w:rsidRPr="007F6F58" w:rsidRDefault="009C0790" w:rsidP="00487AC7">
      <w:pPr>
        <w:spacing w:line="260" w:lineRule="exact"/>
        <w:rPr>
          <w:color w:val="000000"/>
          <w:spacing w:val="-5"/>
        </w:rPr>
      </w:pPr>
    </w:p>
    <w:p w14:paraId="5D627DA7" w14:textId="3DAAF859" w:rsidR="009C0790" w:rsidRPr="007F6F58" w:rsidRDefault="009C0790" w:rsidP="00487AC7">
      <w:pPr>
        <w:numPr>
          <w:ilvl w:val="2"/>
          <w:numId w:val="9"/>
        </w:numPr>
        <w:tabs>
          <w:tab w:val="clear" w:pos="1440"/>
          <w:tab w:val="num" w:pos="540"/>
          <w:tab w:val="num" w:pos="1710"/>
        </w:tabs>
        <w:spacing w:line="260" w:lineRule="exact"/>
        <w:ind w:left="540" w:hanging="540"/>
        <w:rPr>
          <w:color w:val="000000"/>
          <w:spacing w:val="-5"/>
        </w:rPr>
      </w:pPr>
      <w:r w:rsidRPr="007F6F58">
        <w:rPr>
          <w:color w:val="000000"/>
          <w:spacing w:val="-5"/>
        </w:rPr>
        <w:t xml:space="preserve">De acuerdo con 105 CMR 130.332, si un evento ha sido considerado como un evento grave </w:t>
      </w:r>
      <w:proofErr w:type="spellStart"/>
      <w:r w:rsidRPr="007F6F58">
        <w:rPr>
          <w:color w:val="000000"/>
          <w:spacing w:val="-5"/>
        </w:rPr>
        <w:t>notificable</w:t>
      </w:r>
      <w:proofErr w:type="spellEnd"/>
      <w:r w:rsidRPr="007F6F58">
        <w:rPr>
          <w:color w:val="000000"/>
          <w:spacing w:val="-5"/>
        </w:rPr>
        <w:t xml:space="preserve"> (SRE) por el Departamento de Administración de Riesgos, SHS no cobrará, facturará o buscará de otra manera el pago de HSN, el paciente o cualquier otro pagador.  Esto incluye la ocurrencia del SRE, la corrección o remediación del evento, o las complicaciones subsecuentes que surjan del evento. </w:t>
      </w:r>
    </w:p>
    <w:p w14:paraId="267B46BD" w14:textId="77777777" w:rsidR="009C0790" w:rsidRPr="007F6F58" w:rsidRDefault="009C0790" w:rsidP="00487AC7">
      <w:pPr>
        <w:tabs>
          <w:tab w:val="num" w:pos="360"/>
        </w:tabs>
        <w:spacing w:line="260" w:lineRule="exact"/>
        <w:ind w:left="360" w:hanging="360"/>
        <w:rPr>
          <w:color w:val="000000"/>
          <w:spacing w:val="-5"/>
        </w:rPr>
      </w:pPr>
      <w:r w:rsidRPr="007F6F58">
        <w:rPr>
          <w:color w:val="000000"/>
          <w:spacing w:val="-5"/>
        </w:rPr>
        <w:t xml:space="preserve"> </w:t>
      </w:r>
    </w:p>
    <w:p w14:paraId="625576AF" w14:textId="7E3212B6" w:rsidR="009C0790" w:rsidRPr="007F6F58" w:rsidRDefault="009C0790" w:rsidP="00487AC7">
      <w:pPr>
        <w:numPr>
          <w:ilvl w:val="2"/>
          <w:numId w:val="9"/>
        </w:numPr>
        <w:tabs>
          <w:tab w:val="clear" w:pos="1440"/>
          <w:tab w:val="num" w:pos="360"/>
          <w:tab w:val="num" w:pos="540"/>
          <w:tab w:val="left" w:pos="1080"/>
        </w:tabs>
        <w:spacing w:line="260" w:lineRule="exact"/>
        <w:ind w:left="360"/>
        <w:rPr>
          <w:color w:val="000000"/>
          <w:spacing w:val="-5"/>
        </w:rPr>
      </w:pPr>
      <w:r w:rsidRPr="007F6F58">
        <w:rPr>
          <w:color w:val="000000"/>
          <w:spacing w:val="-5"/>
        </w:rPr>
        <w:t>Las readmisiones a SHG o los cuidados de seguimiento proporcionados por SHG, SPG o VNA no son facturables si los servicios están asociados con el SRE.</w:t>
      </w:r>
    </w:p>
    <w:p w14:paraId="03B6EFFE" w14:textId="77777777" w:rsidR="009C0790" w:rsidRPr="007F6F58" w:rsidRDefault="009C0790" w:rsidP="00487AC7">
      <w:pPr>
        <w:tabs>
          <w:tab w:val="num" w:pos="360"/>
        </w:tabs>
        <w:spacing w:line="260" w:lineRule="exact"/>
        <w:ind w:left="360" w:hanging="360"/>
        <w:rPr>
          <w:color w:val="000000"/>
          <w:spacing w:val="-5"/>
        </w:rPr>
      </w:pPr>
    </w:p>
    <w:p w14:paraId="1C21A3A4" w14:textId="555CED69" w:rsidR="009C0790" w:rsidRPr="007F6F58" w:rsidRDefault="009C0790" w:rsidP="00F8001E">
      <w:pPr>
        <w:keepLines/>
        <w:numPr>
          <w:ilvl w:val="2"/>
          <w:numId w:val="9"/>
        </w:numPr>
        <w:tabs>
          <w:tab w:val="clear" w:pos="1440"/>
          <w:tab w:val="num" w:pos="360"/>
          <w:tab w:val="num" w:pos="540"/>
        </w:tabs>
        <w:spacing w:line="260" w:lineRule="exact"/>
        <w:ind w:left="360"/>
        <w:rPr>
          <w:color w:val="000000"/>
          <w:spacing w:val="-5"/>
        </w:rPr>
      </w:pPr>
      <w:r w:rsidRPr="007F6F58">
        <w:rPr>
          <w:color w:val="000000"/>
          <w:spacing w:val="-5"/>
        </w:rPr>
        <w:lastRenderedPageBreak/>
        <w:t>SHS puede presentar una reclamación por los servicios que proporciona y que son resultado de un SRE que no ocurrió en las instalaciones de SHG solo si el centro de tratamiento y el centro responsable del SRE no son de propiedad común o de un socio común con SHS, SHG, SPG o VNA.</w:t>
      </w:r>
    </w:p>
    <w:p w14:paraId="518F7F2D" w14:textId="77777777" w:rsidR="009C0790" w:rsidRPr="007F6F58" w:rsidRDefault="009C0790" w:rsidP="00487AC7">
      <w:pPr>
        <w:pStyle w:val="ListParagraph"/>
        <w:tabs>
          <w:tab w:val="num" w:pos="360"/>
        </w:tabs>
        <w:spacing w:line="260" w:lineRule="exact"/>
        <w:ind w:left="360" w:hanging="360"/>
        <w:rPr>
          <w:color w:val="000000"/>
          <w:spacing w:val="-5"/>
        </w:rPr>
      </w:pPr>
    </w:p>
    <w:p w14:paraId="090ECED2" w14:textId="20B999AF" w:rsidR="009C0790" w:rsidRPr="007F6F58" w:rsidRDefault="009C0790" w:rsidP="00487AC7">
      <w:pPr>
        <w:numPr>
          <w:ilvl w:val="2"/>
          <w:numId w:val="9"/>
        </w:numPr>
        <w:tabs>
          <w:tab w:val="clear" w:pos="1440"/>
          <w:tab w:val="num" w:pos="360"/>
          <w:tab w:val="num" w:pos="540"/>
        </w:tabs>
        <w:spacing w:line="260" w:lineRule="exact"/>
        <w:ind w:left="360"/>
        <w:rPr>
          <w:color w:val="000000"/>
          <w:spacing w:val="-5"/>
        </w:rPr>
      </w:pPr>
      <w:r w:rsidRPr="007F6F58">
        <w:rPr>
          <w:color w:val="000000"/>
          <w:spacing w:val="-5"/>
        </w:rPr>
        <w:t>Una reclamación por servicios relacionados con un SRE que no haya ocurrido en las instalaciones de SHG puede ser presentada a HSN.</w:t>
      </w:r>
    </w:p>
    <w:p w14:paraId="1821103B" w14:textId="77777777" w:rsidR="004C727B" w:rsidRPr="007F6F58" w:rsidRDefault="004C727B" w:rsidP="00487AC7">
      <w:pPr>
        <w:tabs>
          <w:tab w:val="num" w:pos="360"/>
        </w:tabs>
        <w:spacing w:line="260" w:lineRule="exact"/>
        <w:ind w:left="360" w:hanging="360"/>
        <w:rPr>
          <w:rFonts w:ascii="Cambria" w:hAnsi="Cambria"/>
          <w:b/>
          <w:color w:val="000000"/>
          <w:spacing w:val="-5"/>
        </w:rPr>
      </w:pPr>
    </w:p>
    <w:p w14:paraId="477854EA" w14:textId="77777777" w:rsidR="00EE0C39" w:rsidRPr="007F6F58" w:rsidRDefault="00D123FC" w:rsidP="00487AC7">
      <w:pPr>
        <w:spacing w:line="260" w:lineRule="exact"/>
        <w:rPr>
          <w:b/>
          <w:color w:val="000000"/>
          <w:spacing w:val="-5"/>
        </w:rPr>
      </w:pPr>
      <w:r w:rsidRPr="007F6F58">
        <w:rPr>
          <w:rFonts w:ascii="Cambria" w:hAnsi="Cambria"/>
          <w:b/>
          <w:smallCaps/>
          <w:color w:val="000000"/>
          <w:spacing w:val="-5"/>
        </w:rPr>
        <w:t>V.</w:t>
      </w:r>
      <w:r w:rsidRPr="007F6F58">
        <w:rPr>
          <w:rFonts w:ascii="Cambria" w:hAnsi="Cambria"/>
          <w:b/>
          <w:color w:val="000000"/>
          <w:spacing w:val="-5"/>
        </w:rPr>
        <w:t xml:space="preserve">    </w:t>
      </w:r>
      <w:r w:rsidRPr="007F6F58">
        <w:rPr>
          <w:b/>
          <w:color w:val="000000"/>
          <w:spacing w:val="-5"/>
        </w:rPr>
        <w:t xml:space="preserve">Documentación </w:t>
      </w:r>
    </w:p>
    <w:p w14:paraId="6E5E78A9" w14:textId="77777777" w:rsidR="00EE0C39" w:rsidRPr="007F6F58" w:rsidRDefault="00EE0C39" w:rsidP="00487AC7">
      <w:pPr>
        <w:spacing w:line="260" w:lineRule="exact"/>
        <w:ind w:left="1584" w:hanging="1584"/>
        <w:rPr>
          <w:b/>
          <w:color w:val="000000"/>
          <w:spacing w:val="-5"/>
          <w:u w:val="single"/>
        </w:rPr>
      </w:pPr>
    </w:p>
    <w:p w14:paraId="3947DB90" w14:textId="77777777" w:rsidR="00B26D8E" w:rsidRPr="007F6F58" w:rsidRDefault="00D71211" w:rsidP="00487AC7">
      <w:pPr>
        <w:numPr>
          <w:ilvl w:val="0"/>
          <w:numId w:val="11"/>
        </w:numPr>
        <w:spacing w:line="260" w:lineRule="exact"/>
        <w:ind w:left="540"/>
        <w:rPr>
          <w:b/>
          <w:color w:val="000000"/>
          <w:spacing w:val="-5"/>
          <w:u w:val="single"/>
        </w:rPr>
      </w:pPr>
      <w:r w:rsidRPr="007F6F58">
        <w:rPr>
          <w:b/>
          <w:color w:val="000000"/>
          <w:spacing w:val="-5"/>
          <w:u w:val="single"/>
        </w:rPr>
        <w:t xml:space="preserve">Mantenimiento de registros </w:t>
      </w:r>
    </w:p>
    <w:p w14:paraId="14BEFA02" w14:textId="77777777" w:rsidR="00B26D8E" w:rsidRPr="007F6F58" w:rsidRDefault="00B26D8E" w:rsidP="00487AC7">
      <w:pPr>
        <w:spacing w:line="260" w:lineRule="exact"/>
        <w:ind w:left="1584" w:hanging="1584"/>
        <w:rPr>
          <w:b/>
          <w:color w:val="000000"/>
          <w:spacing w:val="-5"/>
          <w:u w:val="single"/>
        </w:rPr>
      </w:pPr>
    </w:p>
    <w:p w14:paraId="7D89D845" w14:textId="3DDCA1E2" w:rsidR="00170237" w:rsidRPr="007F6F58" w:rsidRDefault="00D71211" w:rsidP="00487AC7">
      <w:pPr>
        <w:numPr>
          <w:ilvl w:val="6"/>
          <w:numId w:val="4"/>
        </w:numPr>
        <w:tabs>
          <w:tab w:val="clear" w:pos="1476"/>
          <w:tab w:val="num" w:pos="900"/>
        </w:tabs>
        <w:spacing w:line="260" w:lineRule="exact"/>
        <w:ind w:left="900"/>
        <w:rPr>
          <w:spacing w:val="-5"/>
        </w:rPr>
      </w:pPr>
      <w:r w:rsidRPr="007F6F58">
        <w:rPr>
          <w:color w:val="000000"/>
          <w:spacing w:val="-5"/>
        </w:rPr>
        <w:t>SHG mantendrá registros que documenten los reclamos por servicios elegibles para pacientes de bajos ingresos, servicios de emergencia por deudas incobrables y servicios médicos de emergencia como lo requiere 101 CMR 613, el Código de Rentas Internas, y las políticas y procedimientos aplicables.</w:t>
      </w:r>
    </w:p>
    <w:p w14:paraId="2C3ABC17" w14:textId="77777777" w:rsidR="008F65CC" w:rsidRPr="007F6F58" w:rsidRDefault="008F65CC" w:rsidP="00487AC7">
      <w:pPr>
        <w:spacing w:line="260" w:lineRule="exact"/>
        <w:ind w:left="900"/>
        <w:rPr>
          <w:spacing w:val="-5"/>
        </w:rPr>
      </w:pPr>
    </w:p>
    <w:p w14:paraId="644E7CEB" w14:textId="371C1B1C" w:rsidR="008F65CC" w:rsidRPr="007F6F58" w:rsidRDefault="008F65CC" w:rsidP="00487AC7">
      <w:pPr>
        <w:numPr>
          <w:ilvl w:val="6"/>
          <w:numId w:val="4"/>
        </w:numPr>
        <w:tabs>
          <w:tab w:val="clear" w:pos="1476"/>
          <w:tab w:val="num" w:pos="900"/>
        </w:tabs>
        <w:spacing w:line="260" w:lineRule="exact"/>
        <w:ind w:left="900"/>
        <w:rPr>
          <w:spacing w:val="-5"/>
        </w:rPr>
      </w:pPr>
      <w:r w:rsidRPr="007F6F58">
        <w:rPr>
          <w:spacing w:val="-5"/>
        </w:rPr>
        <w:t xml:space="preserve">SHS – en nombre de SHG – archivará esta Política de Crédito y Cobro electrónicamente ante la oficina de Medicaid, </w:t>
      </w:r>
      <w:proofErr w:type="spellStart"/>
      <w:r w:rsidRPr="007F6F58">
        <w:rPr>
          <w:spacing w:val="-5"/>
        </w:rPr>
        <w:t>Health</w:t>
      </w:r>
      <w:proofErr w:type="spellEnd"/>
      <w:r w:rsidRPr="007F6F58">
        <w:rPr>
          <w:spacing w:val="-5"/>
        </w:rPr>
        <w:t xml:space="preserve"> Safety Net como se requiere cuando la política es cambiada o cuando hay cambios regulatorios promulgados por la Oficina de Medicaid, </w:t>
      </w:r>
      <w:proofErr w:type="spellStart"/>
      <w:r w:rsidRPr="007F6F58">
        <w:rPr>
          <w:spacing w:val="-5"/>
        </w:rPr>
        <w:t>Health</w:t>
      </w:r>
      <w:proofErr w:type="spellEnd"/>
      <w:r w:rsidRPr="007F6F58">
        <w:rPr>
          <w:spacing w:val="-5"/>
        </w:rPr>
        <w:t xml:space="preserve"> Safety Net ordenando una nueva presentación de la política.</w:t>
      </w:r>
    </w:p>
    <w:p w14:paraId="591665EE" w14:textId="77777777" w:rsidR="00F65783" w:rsidRPr="007F6F58" w:rsidRDefault="00F65783" w:rsidP="00487AC7">
      <w:pPr>
        <w:spacing w:line="260" w:lineRule="exact"/>
        <w:rPr>
          <w:rStyle w:val="Emphasis"/>
          <w:spacing w:val="-5"/>
        </w:rPr>
      </w:pPr>
    </w:p>
    <w:p w14:paraId="4B513AC5" w14:textId="73E20628" w:rsidR="002A2FF5" w:rsidRPr="007F6F58" w:rsidRDefault="00292415" w:rsidP="00487AC7">
      <w:pPr>
        <w:spacing w:line="260" w:lineRule="exact"/>
        <w:ind w:left="1584" w:hanging="1584"/>
        <w:rPr>
          <w:b/>
          <w:bCs/>
          <w:smallCaps/>
          <w:spacing w:val="-5"/>
          <w:u w:val="single"/>
        </w:rPr>
      </w:pPr>
      <w:r w:rsidRPr="007F6F58">
        <w:rPr>
          <w:b/>
          <w:smallCaps/>
          <w:spacing w:val="-5"/>
          <w:u w:val="single"/>
        </w:rPr>
        <w:t xml:space="preserve">Anexos:    </w:t>
      </w:r>
    </w:p>
    <w:p w14:paraId="06487335" w14:textId="77777777" w:rsidR="002A2FF5" w:rsidRPr="007F6F58" w:rsidRDefault="002A2FF5" w:rsidP="00487AC7">
      <w:pPr>
        <w:spacing w:line="260" w:lineRule="exact"/>
        <w:ind w:left="1584" w:hanging="1584"/>
        <w:rPr>
          <w:spacing w:val="-5"/>
        </w:rPr>
      </w:pPr>
    </w:p>
    <w:p w14:paraId="2478715A" w14:textId="43EE7CEF" w:rsidR="001A738F" w:rsidRPr="007F6F58" w:rsidRDefault="00050664" w:rsidP="00487AC7">
      <w:pPr>
        <w:numPr>
          <w:ilvl w:val="0"/>
          <w:numId w:val="6"/>
        </w:numPr>
        <w:tabs>
          <w:tab w:val="clear" w:pos="504"/>
          <w:tab w:val="left" w:pos="360"/>
        </w:tabs>
        <w:spacing w:line="260" w:lineRule="exact"/>
        <w:ind w:left="360"/>
        <w:rPr>
          <w:spacing w:val="-5"/>
        </w:rPr>
      </w:pPr>
      <w:r w:rsidRPr="007F6F58">
        <w:rPr>
          <w:spacing w:val="-5"/>
        </w:rPr>
        <w:t xml:space="preserve">Carta de concesión y denegación </w:t>
      </w:r>
    </w:p>
    <w:p w14:paraId="3BA14CE8" w14:textId="77777777" w:rsidR="00D71211" w:rsidRPr="007F6F58" w:rsidRDefault="00D71211" w:rsidP="00487AC7">
      <w:pPr>
        <w:numPr>
          <w:ilvl w:val="0"/>
          <w:numId w:val="6"/>
        </w:numPr>
        <w:tabs>
          <w:tab w:val="clear" w:pos="504"/>
          <w:tab w:val="left" w:pos="360"/>
        </w:tabs>
        <w:spacing w:line="260" w:lineRule="exact"/>
        <w:ind w:left="360"/>
        <w:rPr>
          <w:spacing w:val="-5"/>
        </w:rPr>
      </w:pPr>
      <w:r w:rsidRPr="007F6F58">
        <w:rPr>
          <w:spacing w:val="-5"/>
        </w:rPr>
        <w:t>Declaración del paciente</w:t>
      </w:r>
    </w:p>
    <w:p w14:paraId="36103780" w14:textId="77777777" w:rsidR="00D71211" w:rsidRPr="007F6F58" w:rsidRDefault="00DA7333" w:rsidP="00487AC7">
      <w:pPr>
        <w:numPr>
          <w:ilvl w:val="0"/>
          <w:numId w:val="6"/>
        </w:numPr>
        <w:tabs>
          <w:tab w:val="clear" w:pos="504"/>
          <w:tab w:val="left" w:pos="360"/>
        </w:tabs>
        <w:spacing w:line="260" w:lineRule="exact"/>
        <w:ind w:left="360"/>
        <w:rPr>
          <w:spacing w:val="-5"/>
        </w:rPr>
      </w:pPr>
      <w:r w:rsidRPr="007F6F58">
        <w:rPr>
          <w:spacing w:val="-5"/>
        </w:rPr>
        <w:t>Carta del paciente de la demanda final</w:t>
      </w:r>
    </w:p>
    <w:p w14:paraId="272DED76" w14:textId="77777777" w:rsidR="00D71211" w:rsidRPr="007F6F58" w:rsidRDefault="00AE1F8D" w:rsidP="00487AC7">
      <w:pPr>
        <w:numPr>
          <w:ilvl w:val="0"/>
          <w:numId w:val="6"/>
        </w:numPr>
        <w:tabs>
          <w:tab w:val="clear" w:pos="504"/>
          <w:tab w:val="left" w:pos="360"/>
        </w:tabs>
        <w:spacing w:line="260" w:lineRule="exact"/>
        <w:ind w:left="360"/>
        <w:rPr>
          <w:spacing w:val="-5"/>
        </w:rPr>
      </w:pPr>
      <w:r w:rsidRPr="007F6F58">
        <w:rPr>
          <w:spacing w:val="-5"/>
        </w:rPr>
        <w:t>Carta del plan de pago</w:t>
      </w:r>
    </w:p>
    <w:p w14:paraId="27FB980B" w14:textId="77777777" w:rsidR="00292415" w:rsidRPr="007F6F58" w:rsidRDefault="00292415" w:rsidP="00487AC7">
      <w:pPr>
        <w:tabs>
          <w:tab w:val="left" w:pos="360"/>
        </w:tabs>
        <w:spacing w:line="260" w:lineRule="exact"/>
        <w:rPr>
          <w:spacing w:val="-5"/>
        </w:rPr>
      </w:pPr>
    </w:p>
    <w:p w14:paraId="7A049F1B" w14:textId="77777777" w:rsidR="00292415" w:rsidRPr="007F6F58" w:rsidRDefault="00292415" w:rsidP="00487AC7">
      <w:pPr>
        <w:tabs>
          <w:tab w:val="left" w:pos="360"/>
        </w:tabs>
        <w:spacing w:line="260" w:lineRule="exact"/>
        <w:rPr>
          <w:b/>
          <w:spacing w:val="-5"/>
          <w:u w:val="single"/>
        </w:rPr>
      </w:pPr>
      <w:r w:rsidRPr="007F6F58">
        <w:rPr>
          <w:b/>
          <w:spacing w:val="-5"/>
          <w:u w:val="single"/>
        </w:rPr>
        <w:t xml:space="preserve">Referencias – </w:t>
      </w:r>
    </w:p>
    <w:p w14:paraId="1E58C918" w14:textId="77777777" w:rsidR="00292415" w:rsidRPr="007F6F58" w:rsidRDefault="00292415" w:rsidP="00487AC7">
      <w:pPr>
        <w:tabs>
          <w:tab w:val="left" w:pos="360"/>
        </w:tabs>
        <w:spacing w:line="260" w:lineRule="exact"/>
        <w:rPr>
          <w:b/>
          <w:spacing w:val="-5"/>
        </w:rPr>
      </w:pPr>
    </w:p>
    <w:p w14:paraId="44B9D792" w14:textId="77777777" w:rsidR="00B53A5A" w:rsidRDefault="00841444" w:rsidP="00487AC7">
      <w:pPr>
        <w:widowControl w:val="0"/>
        <w:autoSpaceDE w:val="0"/>
        <w:autoSpaceDN w:val="0"/>
        <w:spacing w:line="260" w:lineRule="exact"/>
        <w:ind w:right="332"/>
        <w:rPr>
          <w:spacing w:val="-5"/>
        </w:rPr>
      </w:pPr>
      <w:r w:rsidRPr="007F6F58">
        <w:rPr>
          <w:spacing w:val="-5"/>
        </w:rPr>
        <w:t xml:space="preserve">Oficina Ejecutiva de Salud y Servicios Humanos Regulaciones de política 101 CMR 613.00 (regulaciones que gobiernan los criterios para las políticas de crédito y cobro de los hospitales de cuidados agudos) </w:t>
      </w:r>
    </w:p>
    <w:p w14:paraId="4F2761FA" w14:textId="4C3913CF" w:rsidR="00841444" w:rsidRPr="007F6F58" w:rsidRDefault="00841444" w:rsidP="00487AC7">
      <w:pPr>
        <w:widowControl w:val="0"/>
        <w:autoSpaceDE w:val="0"/>
        <w:autoSpaceDN w:val="0"/>
        <w:spacing w:line="260" w:lineRule="exact"/>
        <w:ind w:right="332"/>
        <w:rPr>
          <w:spacing w:val="-5"/>
        </w:rPr>
      </w:pPr>
      <w:r w:rsidRPr="007F6F58">
        <w:rPr>
          <w:spacing w:val="-5"/>
        </w:rPr>
        <w:t xml:space="preserve">Código de Rentas Internas Sección 501(r) como se requiere bajo la Sección 9007(a) de la Ley Federal de Protección al Paciente y Cuidados Asequibles (PPACA) (Pub. </w:t>
      </w:r>
      <w:proofErr w:type="spellStart"/>
      <w:proofErr w:type="gramStart"/>
      <w:r w:rsidRPr="007F6F58">
        <w:rPr>
          <w:spacing w:val="-5"/>
        </w:rPr>
        <w:t>L.No</w:t>
      </w:r>
      <w:proofErr w:type="spellEnd"/>
      <w:proofErr w:type="gramEnd"/>
      <w:r w:rsidRPr="007F6F58">
        <w:rPr>
          <w:spacing w:val="-5"/>
        </w:rPr>
        <w:t xml:space="preserve"> 111-148).</w:t>
      </w:r>
    </w:p>
    <w:p w14:paraId="34E69FDE" w14:textId="77777777" w:rsidR="005E3941" w:rsidRPr="007F6F58" w:rsidRDefault="005E3941" w:rsidP="00487AC7">
      <w:pPr>
        <w:pStyle w:val="ListParagraph"/>
        <w:tabs>
          <w:tab w:val="left" w:pos="360"/>
        </w:tabs>
        <w:spacing w:line="260" w:lineRule="exact"/>
        <w:ind w:left="360" w:hanging="360"/>
        <w:rPr>
          <w:spacing w:val="-5"/>
        </w:rPr>
      </w:pPr>
      <w:r w:rsidRPr="007F6F58">
        <w:rPr>
          <w:spacing w:val="-5"/>
        </w:rPr>
        <w:t>Reglamento de la Oficina Ejecutiva de Política de Salud y Servicios Humanos 105 CMR 130.332</w:t>
      </w:r>
    </w:p>
    <w:p w14:paraId="0E8FDEA5" w14:textId="77777777" w:rsidR="00292415" w:rsidRPr="007F6F58" w:rsidRDefault="00292415" w:rsidP="00487AC7">
      <w:pPr>
        <w:pStyle w:val="Heading2"/>
        <w:numPr>
          <w:ilvl w:val="0"/>
          <w:numId w:val="0"/>
        </w:numPr>
        <w:spacing w:line="260" w:lineRule="exact"/>
        <w:rPr>
          <w:spacing w:val="-5"/>
          <w:sz w:val="24"/>
          <w:u w:val="none"/>
        </w:rPr>
      </w:pPr>
      <w:r w:rsidRPr="007F6F58">
        <w:rPr>
          <w:spacing w:val="-5"/>
          <w:sz w:val="24"/>
          <w:u w:val="none"/>
        </w:rPr>
        <w:t xml:space="preserve">Ley de Servicios de Salud Pública, artículo 2718 e).  </w:t>
      </w:r>
    </w:p>
    <w:p w14:paraId="405D0EFF" w14:textId="3B9E13D7" w:rsidR="001226AA" w:rsidRPr="007F6F58" w:rsidRDefault="001226AA" w:rsidP="00487AC7">
      <w:pPr>
        <w:spacing w:line="260" w:lineRule="exact"/>
        <w:rPr>
          <w:spacing w:val="-5"/>
        </w:rPr>
      </w:pPr>
      <w:r w:rsidRPr="007F6F58">
        <w:rPr>
          <w:spacing w:val="-5"/>
        </w:rPr>
        <w:t>Ley de Tratamiento Médico de Emergencia y Trabajo (EMTALA) Sección 1867</w:t>
      </w:r>
    </w:p>
    <w:p w14:paraId="3A6BE0BE" w14:textId="7BD0908D" w:rsidR="00631156" w:rsidRPr="007F6F58" w:rsidRDefault="00631156" w:rsidP="00487AC7">
      <w:pPr>
        <w:spacing w:line="260" w:lineRule="exact"/>
        <w:rPr>
          <w:spacing w:val="-5"/>
        </w:rPr>
      </w:pPr>
      <w:r w:rsidRPr="007F6F58">
        <w:rPr>
          <w:spacing w:val="-5"/>
        </w:rPr>
        <w:t>Política de cobro de SPG</w:t>
      </w:r>
    </w:p>
    <w:p w14:paraId="0B466A03" w14:textId="757C81CA" w:rsidR="00631156" w:rsidRDefault="00631156" w:rsidP="00487AC7">
      <w:pPr>
        <w:spacing w:line="260" w:lineRule="exact"/>
        <w:rPr>
          <w:spacing w:val="-5"/>
        </w:rPr>
      </w:pPr>
      <w:r w:rsidRPr="007F6F58">
        <w:rPr>
          <w:spacing w:val="-5"/>
        </w:rPr>
        <w:t xml:space="preserve">Política de Asistencia Financiera de Southcoast </w:t>
      </w:r>
      <w:proofErr w:type="spellStart"/>
      <w:r w:rsidRPr="007F6F58">
        <w:rPr>
          <w:spacing w:val="-5"/>
        </w:rPr>
        <w:t>Health</w:t>
      </w:r>
      <w:proofErr w:type="spellEnd"/>
      <w:r w:rsidRPr="007F6F58">
        <w:rPr>
          <w:spacing w:val="-5"/>
        </w:rPr>
        <w:t xml:space="preserve"> </w:t>
      </w:r>
      <w:proofErr w:type="spellStart"/>
      <w:r w:rsidRPr="007F6F58">
        <w:rPr>
          <w:spacing w:val="-5"/>
        </w:rPr>
        <w:t>System</w:t>
      </w:r>
      <w:proofErr w:type="spellEnd"/>
    </w:p>
    <w:p w14:paraId="448C1612" w14:textId="1B4EBE62" w:rsidR="00C23575" w:rsidRDefault="00C23575" w:rsidP="00487AC7">
      <w:pPr>
        <w:spacing w:line="260" w:lineRule="exact"/>
        <w:rPr>
          <w:spacing w:val="-5"/>
        </w:rPr>
      </w:pPr>
    </w:p>
    <w:p w14:paraId="36EA7A3D" w14:textId="77777777" w:rsidR="00C23575" w:rsidRPr="007F6F58" w:rsidRDefault="00C23575" w:rsidP="00487AC7">
      <w:pPr>
        <w:spacing w:line="260" w:lineRule="exact"/>
        <w:rPr>
          <w:spacing w:val="-5"/>
        </w:rPr>
      </w:pPr>
    </w:p>
    <w:p w14:paraId="7E99CBD2" w14:textId="77777777" w:rsidR="00C23575" w:rsidRPr="00C23575" w:rsidRDefault="00C23575" w:rsidP="00C23575">
      <w:pPr>
        <w:rPr>
          <w:rFonts w:eastAsiaTheme="minorHAnsi"/>
          <w:lang w:val="en-US"/>
        </w:rPr>
      </w:pPr>
      <w:r w:rsidRPr="00C23575">
        <w:rPr>
          <w:rFonts w:eastAsiaTheme="minorHAnsi"/>
          <w:lang w:val="en-US"/>
        </w:rPr>
        <w:t>Prepared By: Revenue Cycle Team</w:t>
      </w:r>
    </w:p>
    <w:p w14:paraId="6D2D22A9" w14:textId="77777777" w:rsidR="00C23575" w:rsidRPr="00C23575" w:rsidRDefault="00C23575" w:rsidP="00C23575">
      <w:pPr>
        <w:rPr>
          <w:rFonts w:eastAsiaTheme="minorHAnsi"/>
          <w:lang w:val="en-US"/>
        </w:rPr>
      </w:pPr>
    </w:p>
    <w:p w14:paraId="77979278" w14:textId="77777777" w:rsidR="00C23575" w:rsidRPr="00C23575" w:rsidRDefault="00C23575" w:rsidP="00C23575">
      <w:pPr>
        <w:rPr>
          <w:rFonts w:eastAsiaTheme="minorHAnsi"/>
          <w:lang w:val="en-US"/>
        </w:rPr>
      </w:pPr>
    </w:p>
    <w:p w14:paraId="0CDB0726" w14:textId="77777777" w:rsidR="00C23575" w:rsidRPr="00C23575" w:rsidRDefault="00C23575" w:rsidP="00C23575">
      <w:pPr>
        <w:rPr>
          <w:rFonts w:eastAsiaTheme="minorHAnsi"/>
          <w:lang w:val="en-US"/>
        </w:rPr>
      </w:pPr>
      <w:r w:rsidRPr="00C23575">
        <w:rPr>
          <w:rFonts w:eastAsiaTheme="minorHAnsi"/>
          <w:lang w:val="en-US"/>
        </w:rPr>
        <w:t>Approved By:</w:t>
      </w:r>
    </w:p>
    <w:p w14:paraId="49ADF287" w14:textId="77777777" w:rsidR="00C23575" w:rsidRPr="00C23575" w:rsidRDefault="00C23575" w:rsidP="00C23575">
      <w:pPr>
        <w:rPr>
          <w:rFonts w:eastAsiaTheme="minorHAnsi"/>
          <w:lang w:val="en-US"/>
        </w:rPr>
      </w:pPr>
    </w:p>
    <w:p w14:paraId="313E07F3" w14:textId="77777777" w:rsidR="00C23575" w:rsidRPr="00C23575" w:rsidRDefault="00C23575" w:rsidP="00C23575">
      <w:pPr>
        <w:rPr>
          <w:rFonts w:eastAsiaTheme="minorHAnsi"/>
          <w:lang w:val="en-US"/>
        </w:rPr>
      </w:pPr>
      <w:r w:rsidRPr="00C23575">
        <w:rPr>
          <w:rFonts w:eastAsiaTheme="minorHAnsi"/>
          <w:lang w:val="en-US"/>
        </w:rPr>
        <w:t>____________________________</w:t>
      </w:r>
    </w:p>
    <w:p w14:paraId="33C3C620" w14:textId="77777777" w:rsidR="00C23575" w:rsidRPr="00C23575" w:rsidRDefault="00C23575" w:rsidP="00C23575">
      <w:pPr>
        <w:rPr>
          <w:rFonts w:eastAsiaTheme="minorHAnsi"/>
          <w:lang w:val="en-US"/>
        </w:rPr>
      </w:pPr>
      <w:r w:rsidRPr="00C23575">
        <w:rPr>
          <w:rFonts w:eastAsiaTheme="minorHAnsi"/>
          <w:lang w:val="en-US"/>
        </w:rPr>
        <w:t>Jadene Elden</w:t>
      </w:r>
    </w:p>
    <w:p w14:paraId="78949316" w14:textId="77777777" w:rsidR="00C23575" w:rsidRPr="00C23575" w:rsidRDefault="00C23575" w:rsidP="00C23575">
      <w:pPr>
        <w:rPr>
          <w:rFonts w:eastAsiaTheme="minorHAnsi"/>
          <w:lang w:val="en-US"/>
        </w:rPr>
      </w:pPr>
      <w:r w:rsidRPr="00C23575">
        <w:rPr>
          <w:rFonts w:eastAsiaTheme="minorHAnsi"/>
          <w:lang w:val="en-US"/>
        </w:rPr>
        <w:t xml:space="preserve">VP Revenue Cycle </w:t>
      </w:r>
    </w:p>
    <w:p w14:paraId="4D15292C" w14:textId="782FBDD9" w:rsidR="009D6C41" w:rsidRPr="007F2109" w:rsidRDefault="009D6C41" w:rsidP="00F8001E">
      <w:pPr>
        <w:rPr>
          <w:spacing w:val="-5"/>
          <w:lang w:val="en-US"/>
        </w:rPr>
      </w:pPr>
      <w:r w:rsidRPr="007F6F58">
        <w:rPr>
          <w:spacing w:val="-5"/>
        </w:rPr>
        <w:br w:type="page"/>
      </w:r>
      <w:r w:rsidR="00303597">
        <w:rPr>
          <w:lang w:val="en-US"/>
        </w:rPr>
        <w:lastRenderedPageBreak/>
        <w:t>Anexo</w:t>
      </w:r>
      <w:r w:rsidR="00F8001E" w:rsidRPr="007F2109">
        <w:rPr>
          <w:lang w:val="en-US"/>
        </w:rPr>
        <w:t xml:space="preserve"> A</w:t>
      </w:r>
    </w:p>
    <w:p w14:paraId="3FD96356" w14:textId="5AF42395" w:rsidR="009D6C41" w:rsidRPr="007F6F58" w:rsidRDefault="009D6C41" w:rsidP="009D6C41">
      <w:pPr>
        <w:jc w:val="center"/>
        <w:rPr>
          <w:rStyle w:val="Emphasis"/>
          <w:spacing w:val="-5"/>
        </w:rPr>
      </w:pPr>
    </w:p>
    <w:p w14:paraId="22C554ED" w14:textId="73D1B506" w:rsidR="00064FED" w:rsidRPr="007F6F58" w:rsidRDefault="00064FED" w:rsidP="009D6C41">
      <w:pPr>
        <w:jc w:val="center"/>
        <w:rPr>
          <w:rStyle w:val="Emphasis"/>
          <w:spacing w:val="-5"/>
        </w:rPr>
      </w:pPr>
    </w:p>
    <w:p w14:paraId="076B880B" w14:textId="0CF041BB" w:rsidR="00064FED" w:rsidRPr="007F6F58" w:rsidRDefault="005E3017" w:rsidP="00064FED">
      <w:pPr>
        <w:rPr>
          <w:spacing w:val="-5"/>
        </w:rPr>
      </w:pPr>
      <w:r>
        <w:rPr>
          <w:noProof/>
          <w:spacing w:val="-5"/>
          <w:lang w:val="en-US"/>
        </w:rPr>
        <w:drawing>
          <wp:inline distT="0" distB="0" distL="0" distR="0" wp14:anchorId="611F1922" wp14:editId="703A703A">
            <wp:extent cx="5229225" cy="731520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7315200"/>
                    </a:xfrm>
                    <a:prstGeom prst="rect">
                      <a:avLst/>
                    </a:prstGeom>
                    <a:noFill/>
                    <a:ln>
                      <a:noFill/>
                    </a:ln>
                  </pic:spPr>
                </pic:pic>
              </a:graphicData>
            </a:graphic>
          </wp:inline>
        </w:drawing>
      </w:r>
    </w:p>
    <w:p w14:paraId="405285C4" w14:textId="77777777" w:rsidR="00064FED" w:rsidRPr="007F6F58" w:rsidRDefault="00064FED" w:rsidP="00064FED">
      <w:pPr>
        <w:rPr>
          <w:spacing w:val="-5"/>
        </w:rPr>
      </w:pPr>
    </w:p>
    <w:p w14:paraId="17FBB389" w14:textId="7393F181" w:rsidR="00064FED" w:rsidRPr="007F6F58" w:rsidRDefault="00064FED" w:rsidP="00064FED">
      <w:pPr>
        <w:rPr>
          <w:spacing w:val="-5"/>
        </w:rPr>
      </w:pPr>
    </w:p>
    <w:p w14:paraId="0DA4E391" w14:textId="3E77444C" w:rsidR="00050664" w:rsidRPr="007F6F58" w:rsidRDefault="005E3017" w:rsidP="00064FED">
      <w:pPr>
        <w:ind w:firstLine="720"/>
        <w:rPr>
          <w:spacing w:val="-5"/>
        </w:rPr>
      </w:pPr>
      <w:r>
        <w:rPr>
          <w:noProof/>
          <w:spacing w:val="-5"/>
          <w:lang w:val="en-US"/>
        </w:rPr>
        <w:lastRenderedPageBreak/>
        <w:drawing>
          <wp:inline distT="0" distB="0" distL="0" distR="0" wp14:anchorId="5C4CCAF1" wp14:editId="795B4BC9">
            <wp:extent cx="4876800" cy="775335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7753350"/>
                    </a:xfrm>
                    <a:prstGeom prst="rect">
                      <a:avLst/>
                    </a:prstGeom>
                    <a:noFill/>
                    <a:ln>
                      <a:noFill/>
                    </a:ln>
                  </pic:spPr>
                </pic:pic>
              </a:graphicData>
            </a:graphic>
          </wp:inline>
        </w:drawing>
      </w:r>
    </w:p>
    <w:p w14:paraId="769C122E" w14:textId="4B5A739A" w:rsidR="00064FED" w:rsidRPr="007F6F58" w:rsidRDefault="00064FED" w:rsidP="009D6C41">
      <w:pPr>
        <w:jc w:val="center"/>
        <w:rPr>
          <w:rStyle w:val="Emphasis"/>
          <w:spacing w:val="-5"/>
        </w:rPr>
      </w:pPr>
    </w:p>
    <w:p w14:paraId="11C4B8BB" w14:textId="797A9FE8" w:rsidR="009D6C41" w:rsidRPr="007F6F58" w:rsidRDefault="005E3017" w:rsidP="009D6C41">
      <w:pPr>
        <w:jc w:val="center"/>
        <w:rPr>
          <w:rStyle w:val="Emphasis"/>
          <w:spacing w:val="-5"/>
        </w:rPr>
      </w:pPr>
      <w:r>
        <w:rPr>
          <w:noProof/>
          <w:spacing w:val="-5"/>
          <w:lang w:val="en-US"/>
        </w:rPr>
        <w:lastRenderedPageBreak/>
        <w:drawing>
          <wp:inline distT="0" distB="0" distL="0" distR="0" wp14:anchorId="725D904D" wp14:editId="64BE7425">
            <wp:extent cx="5791200" cy="783907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7839075"/>
                    </a:xfrm>
                    <a:prstGeom prst="rect">
                      <a:avLst/>
                    </a:prstGeom>
                    <a:noFill/>
                    <a:ln>
                      <a:noFill/>
                    </a:ln>
                  </pic:spPr>
                </pic:pic>
              </a:graphicData>
            </a:graphic>
          </wp:inline>
        </w:drawing>
      </w:r>
    </w:p>
    <w:p w14:paraId="405F0C43" w14:textId="77777777" w:rsidR="002F3C2C" w:rsidRPr="007F6F58" w:rsidRDefault="002F3C2C" w:rsidP="009D6C41">
      <w:pPr>
        <w:rPr>
          <w:spacing w:val="-5"/>
        </w:rPr>
      </w:pPr>
    </w:p>
    <w:p w14:paraId="4287A24B" w14:textId="77777777" w:rsidR="002F3C2C" w:rsidRPr="007F6F58" w:rsidRDefault="002F3C2C" w:rsidP="009D6C41">
      <w:pPr>
        <w:rPr>
          <w:spacing w:val="-5"/>
        </w:rPr>
      </w:pPr>
    </w:p>
    <w:p w14:paraId="16534F2C" w14:textId="77777777" w:rsidR="002F3C2C" w:rsidRPr="007F6F58" w:rsidRDefault="002F3C2C" w:rsidP="009D6C41">
      <w:pPr>
        <w:rPr>
          <w:spacing w:val="-5"/>
        </w:rPr>
      </w:pPr>
    </w:p>
    <w:p w14:paraId="3BC58205" w14:textId="77777777" w:rsidR="002F3C2C" w:rsidRPr="007F6F58" w:rsidRDefault="002F3C2C" w:rsidP="009D6C41">
      <w:pPr>
        <w:rPr>
          <w:spacing w:val="-5"/>
        </w:rPr>
      </w:pPr>
    </w:p>
    <w:p w14:paraId="1A9298E1" w14:textId="77777777" w:rsidR="002F3C2C" w:rsidRPr="007F6F58" w:rsidRDefault="002F3C2C" w:rsidP="009D6C41">
      <w:pPr>
        <w:rPr>
          <w:spacing w:val="-5"/>
        </w:rPr>
      </w:pPr>
    </w:p>
    <w:p w14:paraId="123F4D85" w14:textId="77777777" w:rsidR="002F3C2C" w:rsidRPr="007F6F58" w:rsidRDefault="002F3C2C" w:rsidP="009D6C41">
      <w:pPr>
        <w:rPr>
          <w:spacing w:val="-5"/>
        </w:rPr>
      </w:pPr>
    </w:p>
    <w:p w14:paraId="4D6CF9C9" w14:textId="7E34F6ED" w:rsidR="00035E6D" w:rsidRPr="00B53A5A" w:rsidRDefault="00303597" w:rsidP="00035E6D">
      <w:pPr>
        <w:rPr>
          <w:lang w:val="en-US"/>
        </w:rPr>
      </w:pPr>
      <w:r>
        <w:rPr>
          <w:lang w:val="en-US"/>
        </w:rPr>
        <w:t>Anexo</w:t>
      </w:r>
      <w:r w:rsidRPr="007F2109">
        <w:rPr>
          <w:lang w:val="en-US"/>
        </w:rPr>
        <w:t xml:space="preserve"> </w:t>
      </w:r>
      <w:r w:rsidR="00035E6D" w:rsidRPr="00B53A5A">
        <w:rPr>
          <w:lang w:val="en-US"/>
        </w:rPr>
        <w:t>B</w:t>
      </w:r>
    </w:p>
    <w:p w14:paraId="6A9937C2" w14:textId="508B47D5" w:rsidR="002F3C2C" w:rsidRPr="007F6F58" w:rsidRDefault="002F3C2C" w:rsidP="009D6C41">
      <w:pPr>
        <w:rPr>
          <w:spacing w:val="-5"/>
        </w:rPr>
      </w:pPr>
    </w:p>
    <w:p w14:paraId="360D36B5" w14:textId="10F23CE5" w:rsidR="00035806" w:rsidRPr="007F6F58" w:rsidRDefault="00035806" w:rsidP="009D6C41">
      <w:pPr>
        <w:rPr>
          <w:spacing w:val="-5"/>
        </w:rPr>
      </w:pPr>
    </w:p>
    <w:p w14:paraId="47F20637" w14:textId="482FC99F" w:rsidR="009D6C41" w:rsidRPr="007F6F58" w:rsidRDefault="005E3017" w:rsidP="009D6C41">
      <w:pPr>
        <w:rPr>
          <w:spacing w:val="-5"/>
        </w:rPr>
      </w:pPr>
      <w:r>
        <w:rPr>
          <w:noProof/>
          <w:spacing w:val="-5"/>
          <w:lang w:val="en-US"/>
        </w:rPr>
        <w:drawing>
          <wp:inline distT="0" distB="0" distL="0" distR="0" wp14:anchorId="7B3356C1" wp14:editId="167601CD">
            <wp:extent cx="5362575" cy="75057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7505700"/>
                    </a:xfrm>
                    <a:prstGeom prst="rect">
                      <a:avLst/>
                    </a:prstGeom>
                    <a:noFill/>
                    <a:ln>
                      <a:noFill/>
                    </a:ln>
                  </pic:spPr>
                </pic:pic>
              </a:graphicData>
            </a:graphic>
          </wp:inline>
        </w:drawing>
      </w:r>
    </w:p>
    <w:p w14:paraId="45DC696C" w14:textId="77777777" w:rsidR="00035806" w:rsidRPr="007F6F58" w:rsidRDefault="00035806" w:rsidP="009D6C41">
      <w:pPr>
        <w:rPr>
          <w:spacing w:val="-5"/>
        </w:rPr>
      </w:pPr>
    </w:p>
    <w:p w14:paraId="36B1D21C" w14:textId="6B7790AE" w:rsidR="009D6C41" w:rsidRPr="007F6F58" w:rsidRDefault="005E3017" w:rsidP="009D6C41">
      <w:pPr>
        <w:rPr>
          <w:spacing w:val="-5"/>
        </w:rPr>
      </w:pPr>
      <w:r>
        <w:rPr>
          <w:noProof/>
          <w:spacing w:val="-5"/>
          <w:lang w:val="en-US"/>
        </w:rPr>
        <w:lastRenderedPageBreak/>
        <w:drawing>
          <wp:inline distT="0" distB="0" distL="0" distR="0" wp14:anchorId="548299C2" wp14:editId="590D3A04">
            <wp:extent cx="5410200" cy="74104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7410450"/>
                    </a:xfrm>
                    <a:prstGeom prst="rect">
                      <a:avLst/>
                    </a:prstGeom>
                    <a:noFill/>
                    <a:ln>
                      <a:noFill/>
                    </a:ln>
                  </pic:spPr>
                </pic:pic>
              </a:graphicData>
            </a:graphic>
          </wp:inline>
        </w:drawing>
      </w:r>
    </w:p>
    <w:p w14:paraId="5ED65E54" w14:textId="77777777" w:rsidR="009D6C41" w:rsidRPr="007F6F58" w:rsidRDefault="009D6C41" w:rsidP="009D6C41">
      <w:pPr>
        <w:rPr>
          <w:spacing w:val="-5"/>
        </w:rPr>
      </w:pPr>
    </w:p>
    <w:p w14:paraId="60ED9468" w14:textId="77777777" w:rsidR="009D6C41" w:rsidRPr="007F6F58" w:rsidRDefault="009D6C41" w:rsidP="009D6C41">
      <w:pPr>
        <w:rPr>
          <w:spacing w:val="-5"/>
        </w:rPr>
      </w:pPr>
    </w:p>
    <w:p w14:paraId="1A1F082B" w14:textId="3309D388" w:rsidR="009D6C41" w:rsidRPr="007F6F58" w:rsidRDefault="009D6C41" w:rsidP="009D6C41">
      <w:pPr>
        <w:rPr>
          <w:spacing w:val="-5"/>
        </w:rPr>
      </w:pPr>
    </w:p>
    <w:p w14:paraId="1B04CDCB" w14:textId="776627A6" w:rsidR="00FA2A3B" w:rsidRPr="007F6F58" w:rsidRDefault="00FA2A3B" w:rsidP="009D6C41">
      <w:pPr>
        <w:rPr>
          <w:spacing w:val="-5"/>
        </w:rPr>
      </w:pPr>
    </w:p>
    <w:p w14:paraId="250BF900" w14:textId="252BE4A7" w:rsidR="00FA2A3B" w:rsidRPr="007F6F58" w:rsidRDefault="00FA2A3B" w:rsidP="009D6C41">
      <w:pPr>
        <w:rPr>
          <w:spacing w:val="-5"/>
        </w:rPr>
      </w:pPr>
    </w:p>
    <w:p w14:paraId="1FEFA2C0" w14:textId="77777777" w:rsidR="00FA2A3B" w:rsidRPr="007F6F58" w:rsidRDefault="00FA2A3B" w:rsidP="009D6C41">
      <w:pPr>
        <w:rPr>
          <w:spacing w:val="-5"/>
        </w:rPr>
      </w:pPr>
    </w:p>
    <w:p w14:paraId="33891E1B" w14:textId="77777777" w:rsidR="009D6C41" w:rsidRPr="007F6F58" w:rsidRDefault="009D6C41" w:rsidP="009D6C41">
      <w:pPr>
        <w:rPr>
          <w:spacing w:val="-5"/>
        </w:rPr>
      </w:pPr>
    </w:p>
    <w:p w14:paraId="4E5C231E" w14:textId="71EF4553" w:rsidR="009D6C41" w:rsidRPr="00B00C50" w:rsidRDefault="00303597" w:rsidP="009D6C41">
      <w:pPr>
        <w:rPr>
          <w:spacing w:val="-5"/>
          <w:lang w:val="en-US"/>
        </w:rPr>
      </w:pPr>
      <w:r>
        <w:rPr>
          <w:lang w:val="en-US"/>
        </w:rPr>
        <w:lastRenderedPageBreak/>
        <w:t>Anexo</w:t>
      </w:r>
      <w:r w:rsidRPr="007F2109">
        <w:rPr>
          <w:lang w:val="en-US"/>
        </w:rPr>
        <w:t xml:space="preserve"> </w:t>
      </w:r>
      <w:r w:rsidR="00B00C50" w:rsidRPr="00B00C50">
        <w:rPr>
          <w:lang w:val="en-US"/>
        </w:rPr>
        <w:t>C</w:t>
      </w:r>
    </w:p>
    <w:p w14:paraId="41792560" w14:textId="54ABAF44" w:rsidR="00FA2A3B" w:rsidRPr="007F6F58" w:rsidRDefault="00FA2A3B" w:rsidP="009D6C41">
      <w:pPr>
        <w:rPr>
          <w:spacing w:val="-5"/>
        </w:rPr>
      </w:pPr>
    </w:p>
    <w:p w14:paraId="596F9D3E" w14:textId="45F75A72" w:rsidR="00FA2A3B" w:rsidRPr="007F6F58" w:rsidRDefault="005E3017" w:rsidP="009D6C41">
      <w:pPr>
        <w:rPr>
          <w:spacing w:val="-5"/>
        </w:rPr>
      </w:pPr>
      <w:r>
        <w:rPr>
          <w:noProof/>
          <w:spacing w:val="-5"/>
          <w:lang w:val="en-US"/>
        </w:rPr>
        <w:drawing>
          <wp:inline distT="0" distB="0" distL="0" distR="0" wp14:anchorId="0DCA938D" wp14:editId="5ADF5CC8">
            <wp:extent cx="5591175" cy="771525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7715250"/>
                    </a:xfrm>
                    <a:prstGeom prst="rect">
                      <a:avLst/>
                    </a:prstGeom>
                    <a:noFill/>
                    <a:ln>
                      <a:noFill/>
                    </a:ln>
                  </pic:spPr>
                </pic:pic>
              </a:graphicData>
            </a:graphic>
          </wp:inline>
        </w:drawing>
      </w:r>
    </w:p>
    <w:p w14:paraId="68DD983A" w14:textId="77777777" w:rsidR="009D6C41" w:rsidRPr="007F6F58" w:rsidRDefault="009D6C41" w:rsidP="009D6C41">
      <w:pPr>
        <w:rPr>
          <w:spacing w:val="-5"/>
        </w:rPr>
      </w:pPr>
    </w:p>
    <w:p w14:paraId="063A4F84" w14:textId="73B7651B" w:rsidR="00035E6D" w:rsidRPr="003A39FE" w:rsidRDefault="00303597" w:rsidP="00035E6D">
      <w:pPr>
        <w:rPr>
          <w:lang w:val="en-US"/>
        </w:rPr>
      </w:pPr>
      <w:r>
        <w:rPr>
          <w:lang w:val="en-US"/>
        </w:rPr>
        <w:t>Anexo</w:t>
      </w:r>
      <w:r w:rsidRPr="007F2109">
        <w:rPr>
          <w:lang w:val="en-US"/>
        </w:rPr>
        <w:t xml:space="preserve"> </w:t>
      </w:r>
      <w:r w:rsidR="00035E6D" w:rsidRPr="003A39FE">
        <w:rPr>
          <w:lang w:val="en-US"/>
        </w:rPr>
        <w:t>D</w:t>
      </w:r>
    </w:p>
    <w:p w14:paraId="42789B55" w14:textId="57256426" w:rsidR="00035806" w:rsidRPr="007F6F58" w:rsidRDefault="00035806" w:rsidP="009D6C41">
      <w:pPr>
        <w:rPr>
          <w:spacing w:val="-5"/>
        </w:rPr>
      </w:pPr>
    </w:p>
    <w:p w14:paraId="33CA984F" w14:textId="736BF480" w:rsidR="00035806" w:rsidRPr="007F6F58" w:rsidRDefault="005E3017" w:rsidP="009D6C41">
      <w:pPr>
        <w:rPr>
          <w:spacing w:val="-5"/>
        </w:rPr>
      </w:pPr>
      <w:r>
        <w:rPr>
          <w:noProof/>
          <w:spacing w:val="-5"/>
          <w:lang w:val="en-US"/>
        </w:rPr>
        <w:lastRenderedPageBreak/>
        <w:drawing>
          <wp:inline distT="0" distB="0" distL="0" distR="0" wp14:anchorId="24B19228" wp14:editId="06332701">
            <wp:extent cx="5819775" cy="6610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6610350"/>
                    </a:xfrm>
                    <a:prstGeom prst="rect">
                      <a:avLst/>
                    </a:prstGeom>
                    <a:noFill/>
                    <a:ln>
                      <a:noFill/>
                    </a:ln>
                  </pic:spPr>
                </pic:pic>
              </a:graphicData>
            </a:graphic>
          </wp:inline>
        </w:drawing>
      </w:r>
    </w:p>
    <w:p w14:paraId="5802A608" w14:textId="2DFE325C" w:rsidR="00064FED" w:rsidRPr="007F6F58" w:rsidRDefault="00064FED" w:rsidP="009D6C41">
      <w:pPr>
        <w:rPr>
          <w:spacing w:val="-5"/>
        </w:rPr>
      </w:pPr>
    </w:p>
    <w:p w14:paraId="7C992BF8" w14:textId="5A8A0F17" w:rsidR="009D6C41" w:rsidRPr="007F6F58" w:rsidRDefault="009D6C41" w:rsidP="009D6C41">
      <w:pPr>
        <w:rPr>
          <w:spacing w:val="-5"/>
        </w:rPr>
      </w:pPr>
    </w:p>
    <w:sectPr w:rsidR="009D6C41" w:rsidRPr="007F6F58" w:rsidSect="00FC3054">
      <w:footerReference w:type="even" r:id="rId16"/>
      <w:footerReference w:type="default" r:id="rId17"/>
      <w:headerReference w:type="first" r:id="rId18"/>
      <w:pgSz w:w="12240" w:h="15840"/>
      <w:pgMar w:top="806" w:right="1440" w:bottom="1267"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0977" w14:textId="77777777" w:rsidR="0087161B" w:rsidRDefault="0087161B">
      <w:r>
        <w:separator/>
      </w:r>
    </w:p>
  </w:endnote>
  <w:endnote w:type="continuationSeparator" w:id="0">
    <w:p w14:paraId="0379B768" w14:textId="77777777" w:rsidR="0087161B" w:rsidRDefault="0087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A188" w14:textId="77777777" w:rsidR="00C55BB2" w:rsidRDefault="00C55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DACEF" w14:textId="77777777" w:rsidR="00C55BB2" w:rsidRDefault="00C55B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43D9" w14:textId="119FE8D5" w:rsidR="00C55BB2" w:rsidRDefault="00C55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575">
      <w:rPr>
        <w:rStyle w:val="PageNumber"/>
        <w:noProof/>
      </w:rPr>
      <w:t>18</w:t>
    </w:r>
    <w:r>
      <w:rPr>
        <w:rStyle w:val="PageNumber"/>
      </w:rPr>
      <w:fldChar w:fldCharType="end"/>
    </w:r>
  </w:p>
  <w:p w14:paraId="164CBE38" w14:textId="77777777" w:rsidR="00C55BB2" w:rsidRDefault="00C55B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E94B" w14:textId="77777777" w:rsidR="0087161B" w:rsidRDefault="0087161B">
      <w:r>
        <w:separator/>
      </w:r>
    </w:p>
  </w:footnote>
  <w:footnote w:type="continuationSeparator" w:id="0">
    <w:p w14:paraId="25649E8B" w14:textId="77777777" w:rsidR="0087161B" w:rsidRDefault="0087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CC2" w14:textId="18DECAAF" w:rsidR="00C55BB2" w:rsidRDefault="00C55BB2">
    <w:pPr>
      <w:pStyle w:val="Header"/>
    </w:pPr>
    <w:r>
      <w:tab/>
      <w:t xml:space="preserve">BORRADOR  -  </w:t>
    </w:r>
    <w:r>
      <w:fldChar w:fldCharType="begin"/>
    </w:r>
    <w:r>
      <w:instrText xml:space="preserve"> DATE \@ "M/d/yyyy" </w:instrText>
    </w:r>
    <w:r>
      <w:fldChar w:fldCharType="separate"/>
    </w:r>
    <w:r w:rsidR="00BE0935">
      <w:rPr>
        <w:noProof/>
      </w:rPr>
      <w:t>5/13/2022</w:t>
    </w:r>
    <w:r>
      <w:rPr>
        <w:noProof/>
      </w:rPr>
      <w:fldChar w:fldCharType="end"/>
    </w:r>
    <w:r>
      <w:t xml:space="preserve">   </w:t>
    </w:r>
    <w:r>
      <w:fldChar w:fldCharType="begin"/>
    </w:r>
    <w:r>
      <w:instrText xml:space="preserve"> TIME \@ "h:mm AM/PM" </w:instrText>
    </w:r>
    <w:r>
      <w:fldChar w:fldCharType="separate"/>
    </w:r>
    <w:r w:rsidR="00BE0935">
      <w:rPr>
        <w:noProof/>
      </w:rPr>
      <w:t xml:space="preserve">3:22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839"/>
    <w:multiLevelType w:val="hybridMultilevel"/>
    <w:tmpl w:val="F35A79CA"/>
    <w:lvl w:ilvl="0" w:tplc="0409000F">
      <w:start w:val="1"/>
      <w:numFmt w:val="decimal"/>
      <w:lvlText w:val="%1."/>
      <w:lvlJc w:val="left"/>
      <w:pPr>
        <w:tabs>
          <w:tab w:val="num" w:pos="540"/>
        </w:tabs>
        <w:ind w:left="540" w:hanging="360"/>
      </w:pPr>
      <w:rPr>
        <w:rFonts w:hint="default"/>
      </w:rPr>
    </w:lvl>
    <w:lvl w:ilvl="1" w:tplc="AB9E7CF8">
      <w:start w:val="1"/>
      <w:numFmt w:val="decimal"/>
      <w:lvlText w:val="%2."/>
      <w:lvlJc w:val="left"/>
      <w:pPr>
        <w:tabs>
          <w:tab w:val="num" w:pos="1566"/>
        </w:tabs>
        <w:ind w:left="1566" w:hanging="360"/>
      </w:pPr>
      <w:rPr>
        <w:rFonts w:hint="default"/>
        <w:b/>
      </w:rPr>
    </w:lvl>
    <w:lvl w:ilvl="2" w:tplc="56CC5B0A">
      <w:start w:val="1"/>
      <w:numFmt w:val="lowerLetter"/>
      <w:lvlText w:val="%3."/>
      <w:lvlJc w:val="left"/>
      <w:pPr>
        <w:tabs>
          <w:tab w:val="num" w:pos="1620"/>
        </w:tabs>
        <w:ind w:left="1620" w:hanging="360"/>
      </w:pPr>
      <w:rPr>
        <w:rFonts w:hint="default"/>
        <w:b/>
      </w:r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2E04C444">
      <w:start w:val="1"/>
      <w:numFmt w:val="decimal"/>
      <w:lvlText w:val="%7."/>
      <w:lvlJc w:val="left"/>
      <w:pPr>
        <w:tabs>
          <w:tab w:val="num" w:pos="1476"/>
        </w:tabs>
        <w:ind w:left="1476" w:hanging="360"/>
      </w:pPr>
      <w:rPr>
        <w:b/>
      </w:r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 w15:restartNumberingAfterBreak="0">
    <w:nsid w:val="017A65D1"/>
    <w:multiLevelType w:val="hybridMultilevel"/>
    <w:tmpl w:val="476C7130"/>
    <w:lvl w:ilvl="0" w:tplc="9FAC2B66">
      <w:start w:val="1"/>
      <w:numFmt w:val="upperLetter"/>
      <w:pStyle w:val="Heading3"/>
      <w:lvlText w:val="%1."/>
      <w:lvlJc w:val="left"/>
      <w:pPr>
        <w:tabs>
          <w:tab w:val="num" w:pos="1980"/>
        </w:tabs>
        <w:ind w:left="1980" w:hanging="360"/>
      </w:pPr>
      <w:rPr>
        <w:rFonts w:hint="default"/>
        <w:b/>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022460A9"/>
    <w:multiLevelType w:val="hybridMultilevel"/>
    <w:tmpl w:val="4FC8179C"/>
    <w:lvl w:ilvl="0" w:tplc="3FFE84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1553"/>
    <w:multiLevelType w:val="hybridMultilevel"/>
    <w:tmpl w:val="6FD24878"/>
    <w:lvl w:ilvl="0" w:tplc="A3B26B78">
      <w:start w:val="1"/>
      <w:numFmt w:val="upperLetter"/>
      <w:lvlText w:val="%1."/>
      <w:lvlJc w:val="left"/>
      <w:pPr>
        <w:ind w:left="360" w:hanging="360"/>
      </w:pPr>
      <w:rPr>
        <w:rFonts w:hint="default"/>
        <w:b/>
      </w:rPr>
    </w:lvl>
    <w:lvl w:ilvl="1" w:tplc="74346AE2">
      <w:start w:val="1"/>
      <w:numFmt w:val="decimal"/>
      <w:lvlText w:val="%2."/>
      <w:lvlJc w:val="left"/>
      <w:pPr>
        <w:ind w:left="1890" w:hanging="360"/>
      </w:pPr>
      <w:rPr>
        <w:b/>
      </w:rPr>
    </w:lvl>
    <w:lvl w:ilvl="2" w:tplc="04090017">
      <w:start w:val="1"/>
      <w:numFmt w:val="lowerLetter"/>
      <w:lvlText w:val="%3)"/>
      <w:lvlJc w:val="left"/>
      <w:pPr>
        <w:ind w:left="720" w:hanging="180"/>
      </w:pPr>
      <w:rPr>
        <w:rFonts w:hint="default"/>
      </w:rPr>
    </w:lvl>
    <w:lvl w:ilvl="3" w:tplc="CD8883E4">
      <w:start w:val="2"/>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1B7ADF"/>
    <w:multiLevelType w:val="hybridMultilevel"/>
    <w:tmpl w:val="13D08B82"/>
    <w:lvl w:ilvl="0" w:tplc="0409000F">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B6E24"/>
    <w:multiLevelType w:val="hybridMultilevel"/>
    <w:tmpl w:val="15C0D246"/>
    <w:lvl w:ilvl="0" w:tplc="04090019">
      <w:start w:val="1"/>
      <w:numFmt w:val="lowerLetter"/>
      <w:lvlText w:val="%1."/>
      <w:lvlJc w:val="left"/>
      <w:pPr>
        <w:ind w:left="720" w:hanging="360"/>
      </w:pPr>
    </w:lvl>
    <w:lvl w:ilvl="1" w:tplc="76F62CF0">
      <w:start w:val="1"/>
      <w:numFmt w:val="lowerLetter"/>
      <w:lvlText w:val="%2."/>
      <w:lvlJc w:val="left"/>
      <w:pPr>
        <w:ind w:left="216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66FAE"/>
    <w:multiLevelType w:val="hybridMultilevel"/>
    <w:tmpl w:val="C4769500"/>
    <w:lvl w:ilvl="0" w:tplc="9E245DA6">
      <w:start w:val="1"/>
      <w:numFmt w:val="upperLetter"/>
      <w:lvlText w:val="%1."/>
      <w:lvlJc w:val="left"/>
      <w:pPr>
        <w:tabs>
          <w:tab w:val="num" w:pos="504"/>
        </w:tabs>
        <w:ind w:left="504" w:hanging="360"/>
      </w:pPr>
      <w:rPr>
        <w:rFonts w:hint="default"/>
      </w:rPr>
    </w:lvl>
    <w:lvl w:ilvl="1" w:tplc="0409000F">
      <w:start w:val="1"/>
      <w:numFmt w:val="decimal"/>
      <w:lvlText w:val="%2."/>
      <w:lvlJc w:val="left"/>
      <w:pPr>
        <w:tabs>
          <w:tab w:val="num" w:pos="936"/>
        </w:tabs>
        <w:ind w:left="936" w:hanging="360"/>
      </w:pPr>
      <w:rPr>
        <w:rFonts w:hint="default"/>
        <w:b/>
        <w:color w:val="auto"/>
      </w:rPr>
    </w:lvl>
    <w:lvl w:ilvl="2" w:tplc="72CA3568">
      <w:start w:val="1"/>
      <w:numFmt w:val="upperLetter"/>
      <w:lvlText w:val="%3."/>
      <w:lvlJc w:val="left"/>
      <w:pPr>
        <w:tabs>
          <w:tab w:val="num" w:pos="1440"/>
        </w:tabs>
        <w:ind w:left="14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031CB6"/>
    <w:multiLevelType w:val="hybridMultilevel"/>
    <w:tmpl w:val="20E6901E"/>
    <w:lvl w:ilvl="0" w:tplc="7F38E7AE">
      <w:start w:val="2"/>
      <w:numFmt w:val="upperLetter"/>
      <w:lvlText w:val="%1."/>
      <w:lvlJc w:val="left"/>
      <w:pPr>
        <w:tabs>
          <w:tab w:val="num" w:pos="540"/>
        </w:tabs>
        <w:ind w:left="540" w:hanging="360"/>
      </w:pPr>
      <w:rPr>
        <w:rFonts w:hint="default"/>
      </w:rPr>
    </w:lvl>
    <w:lvl w:ilvl="1" w:tplc="AB9E7CF8">
      <w:start w:val="1"/>
      <w:numFmt w:val="decimal"/>
      <w:lvlText w:val="%2."/>
      <w:lvlJc w:val="left"/>
      <w:pPr>
        <w:tabs>
          <w:tab w:val="num" w:pos="1566"/>
        </w:tabs>
        <w:ind w:left="1566" w:hanging="360"/>
      </w:pPr>
      <w:rPr>
        <w:rFonts w:hint="default"/>
        <w:b/>
      </w:rPr>
    </w:lvl>
    <w:lvl w:ilvl="2" w:tplc="56CC5B0A">
      <w:start w:val="1"/>
      <w:numFmt w:val="lowerLetter"/>
      <w:lvlText w:val="%3."/>
      <w:lvlJc w:val="left"/>
      <w:pPr>
        <w:tabs>
          <w:tab w:val="num" w:pos="1620"/>
        </w:tabs>
        <w:ind w:left="1620" w:hanging="360"/>
      </w:pPr>
      <w:rPr>
        <w:rFonts w:hint="default"/>
        <w:b/>
      </w:r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2E04C444">
      <w:start w:val="1"/>
      <w:numFmt w:val="decimal"/>
      <w:lvlText w:val="%7."/>
      <w:lvlJc w:val="left"/>
      <w:pPr>
        <w:tabs>
          <w:tab w:val="num" w:pos="1476"/>
        </w:tabs>
        <w:ind w:left="1476" w:hanging="360"/>
      </w:pPr>
      <w:rPr>
        <w:b/>
      </w:r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8" w15:restartNumberingAfterBreak="0">
    <w:nsid w:val="083B6F4A"/>
    <w:multiLevelType w:val="hybridMultilevel"/>
    <w:tmpl w:val="7E060EBA"/>
    <w:lvl w:ilvl="0" w:tplc="415E1466">
      <w:start w:val="1"/>
      <w:numFmt w:val="lowerLetter"/>
      <w:lvlText w:val="%1)"/>
      <w:lvlJc w:val="left"/>
      <w:pPr>
        <w:tabs>
          <w:tab w:val="num" w:pos="720"/>
        </w:tabs>
        <w:ind w:left="720" w:hanging="360"/>
      </w:pPr>
      <w:rPr>
        <w:rFonts w:hint="default"/>
        <w:b/>
        <w:color w:val="auto"/>
        <w:sz w:val="22"/>
        <w:szCs w:val="22"/>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095817D3"/>
    <w:multiLevelType w:val="hybridMultilevel"/>
    <w:tmpl w:val="1F9E3EE6"/>
    <w:lvl w:ilvl="0" w:tplc="654C8AF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C707A"/>
    <w:multiLevelType w:val="hybridMultilevel"/>
    <w:tmpl w:val="6A40A0DE"/>
    <w:lvl w:ilvl="0" w:tplc="D952AEA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3E5B"/>
    <w:multiLevelType w:val="hybridMultilevel"/>
    <w:tmpl w:val="E174D2BE"/>
    <w:lvl w:ilvl="0" w:tplc="A50402BC">
      <w:start w:val="2"/>
      <w:numFmt w:val="upperLetter"/>
      <w:lvlText w:val="%1."/>
      <w:lvlJc w:val="left"/>
      <w:pPr>
        <w:tabs>
          <w:tab w:val="num" w:pos="360"/>
        </w:tabs>
        <w:ind w:left="360" w:hanging="360"/>
      </w:pPr>
      <w:rPr>
        <w:rFonts w:hint="default"/>
        <w:b/>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16B261E9"/>
    <w:multiLevelType w:val="hybridMultilevel"/>
    <w:tmpl w:val="76424F28"/>
    <w:lvl w:ilvl="0" w:tplc="C8286072">
      <w:start w:val="1"/>
      <w:numFmt w:val="upperLetter"/>
      <w:lvlText w:val="%1."/>
      <w:lvlJc w:val="left"/>
      <w:pPr>
        <w:tabs>
          <w:tab w:val="num" w:pos="504"/>
        </w:tabs>
        <w:ind w:left="504" w:hanging="360"/>
      </w:pPr>
      <w:rPr>
        <w:rFonts w:hint="default"/>
      </w:rPr>
    </w:lvl>
    <w:lvl w:ilvl="1" w:tplc="6352993E">
      <w:start w:val="5"/>
      <w:numFmt w:val="upperLetter"/>
      <w:lvlText w:val="%2."/>
      <w:lvlJc w:val="left"/>
      <w:pPr>
        <w:tabs>
          <w:tab w:val="num" w:pos="504"/>
        </w:tabs>
        <w:ind w:left="504" w:hanging="360"/>
      </w:pPr>
      <w:rPr>
        <w:rFonts w:hint="default"/>
      </w:rPr>
    </w:lvl>
    <w:lvl w:ilvl="2" w:tplc="E5F45DCA">
      <w:start w:val="4"/>
      <w:numFmt w:val="upperLetter"/>
      <w:lvlText w:val="%3."/>
      <w:lvlJc w:val="left"/>
      <w:pPr>
        <w:tabs>
          <w:tab w:val="num" w:pos="504"/>
        </w:tabs>
        <w:ind w:left="504" w:hanging="360"/>
      </w:pPr>
      <w:rPr>
        <w:rFonts w:hint="default"/>
      </w:rPr>
    </w:lvl>
    <w:lvl w:ilvl="3" w:tplc="8A52E04E">
      <w:start w:val="1"/>
      <w:numFmt w:val="decimal"/>
      <w:lvlText w:val="%4."/>
      <w:lvlJc w:val="left"/>
      <w:pPr>
        <w:tabs>
          <w:tab w:val="num" w:pos="1530"/>
        </w:tabs>
        <w:ind w:left="1530" w:hanging="360"/>
      </w:pPr>
      <w:rPr>
        <w:rFonts w:hint="default"/>
        <w:b/>
        <w:color w:val="auto"/>
      </w:rPr>
    </w:lvl>
    <w:lvl w:ilvl="4" w:tplc="B42EF062">
      <w:start w:val="1"/>
      <w:numFmt w:val="decimal"/>
      <w:lvlText w:val="%5."/>
      <w:lvlJc w:val="left"/>
      <w:pPr>
        <w:tabs>
          <w:tab w:val="num" w:pos="936"/>
        </w:tabs>
        <w:ind w:left="936" w:hanging="360"/>
      </w:pPr>
      <w:rPr>
        <w:rFonts w:hint="default"/>
      </w:rPr>
    </w:lvl>
    <w:lvl w:ilvl="5" w:tplc="0362201C">
      <w:start w:val="1"/>
      <w:numFmt w:val="decimal"/>
      <w:lvlText w:val="%6."/>
      <w:lvlJc w:val="left"/>
      <w:pPr>
        <w:tabs>
          <w:tab w:val="num" w:pos="1530"/>
        </w:tabs>
        <w:ind w:left="1530" w:hanging="360"/>
      </w:pPr>
      <w:rPr>
        <w:rFonts w:hint="default"/>
      </w:rPr>
    </w:lvl>
    <w:lvl w:ilvl="6" w:tplc="8DDA9098">
      <w:start w:val="1"/>
      <w:numFmt w:val="lowerLetter"/>
      <w:lvlText w:val="%7."/>
      <w:lvlJc w:val="left"/>
      <w:pPr>
        <w:tabs>
          <w:tab w:val="num" w:pos="1890"/>
        </w:tabs>
        <w:ind w:left="1890" w:hanging="360"/>
      </w:pPr>
      <w:rPr>
        <w:rFonts w:hint="default"/>
        <w:b/>
      </w:rPr>
    </w:lvl>
    <w:lvl w:ilvl="7" w:tplc="EA789230">
      <w:start w:val="2"/>
      <w:numFmt w:val="decimal"/>
      <w:lvlText w:val="%8."/>
      <w:lvlJc w:val="left"/>
      <w:pPr>
        <w:tabs>
          <w:tab w:val="num" w:pos="1530"/>
        </w:tabs>
        <w:ind w:left="1530" w:hanging="360"/>
      </w:pPr>
      <w:rPr>
        <w:rFonts w:hint="default"/>
      </w:rPr>
    </w:lvl>
    <w:lvl w:ilvl="8" w:tplc="067870FC">
      <w:start w:val="1"/>
      <w:numFmt w:val="lowerLetter"/>
      <w:lvlText w:val="%9."/>
      <w:lvlJc w:val="left"/>
      <w:pPr>
        <w:tabs>
          <w:tab w:val="num" w:pos="1980"/>
        </w:tabs>
        <w:ind w:left="1980" w:hanging="360"/>
      </w:pPr>
      <w:rPr>
        <w:rFonts w:hint="default"/>
        <w:b/>
      </w:rPr>
    </w:lvl>
  </w:abstractNum>
  <w:abstractNum w:abstractNumId="13" w15:restartNumberingAfterBreak="0">
    <w:nsid w:val="16E73F45"/>
    <w:multiLevelType w:val="hybridMultilevel"/>
    <w:tmpl w:val="7E060EBA"/>
    <w:lvl w:ilvl="0" w:tplc="415E1466">
      <w:start w:val="1"/>
      <w:numFmt w:val="lowerLetter"/>
      <w:lvlText w:val="%1)"/>
      <w:lvlJc w:val="left"/>
      <w:pPr>
        <w:tabs>
          <w:tab w:val="num" w:pos="720"/>
        </w:tabs>
        <w:ind w:left="720" w:hanging="360"/>
      </w:pPr>
      <w:rPr>
        <w:rFonts w:hint="default"/>
        <w:b/>
        <w:color w:val="auto"/>
        <w:sz w:val="22"/>
        <w:szCs w:val="22"/>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4" w15:restartNumberingAfterBreak="0">
    <w:nsid w:val="1B751A89"/>
    <w:multiLevelType w:val="hybridMultilevel"/>
    <w:tmpl w:val="4FC4A3D4"/>
    <w:lvl w:ilvl="0" w:tplc="AF46A5AC">
      <w:start w:val="5"/>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1BA30297"/>
    <w:multiLevelType w:val="hybridMultilevel"/>
    <w:tmpl w:val="AA32B7CE"/>
    <w:lvl w:ilvl="0" w:tplc="E4C05EB8">
      <w:start w:val="1"/>
      <w:numFmt w:val="upperLetter"/>
      <w:lvlText w:val="%1."/>
      <w:lvlJc w:val="left"/>
      <w:pPr>
        <w:tabs>
          <w:tab w:val="num" w:pos="810"/>
        </w:tabs>
        <w:ind w:left="810" w:hanging="360"/>
      </w:pPr>
      <w:rPr>
        <w:rFonts w:hint="default"/>
      </w:rPr>
    </w:lvl>
    <w:lvl w:ilvl="1" w:tplc="0409000F">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720"/>
        </w:tabs>
        <w:ind w:left="720" w:hanging="360"/>
      </w:pPr>
      <w:rPr>
        <w:b/>
      </w:rPr>
    </w:lvl>
    <w:lvl w:ilvl="4" w:tplc="04090017">
      <w:start w:val="1"/>
      <w:numFmt w:val="lowerLetter"/>
      <w:lvlText w:val="%5)"/>
      <w:lvlJc w:val="left"/>
      <w:pPr>
        <w:ind w:left="1260" w:hanging="360"/>
      </w:pPr>
      <w:rPr>
        <w:rFonts w:hint="default"/>
        <w:b/>
      </w:rPr>
    </w:lvl>
    <w:lvl w:ilvl="5" w:tplc="E3586502">
      <w:start w:val="4"/>
      <w:numFmt w:val="decimal"/>
      <w:lvlText w:val="%6."/>
      <w:lvlJc w:val="left"/>
      <w:pPr>
        <w:ind w:left="45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DF2EEE"/>
    <w:multiLevelType w:val="hybridMultilevel"/>
    <w:tmpl w:val="32A43508"/>
    <w:lvl w:ilvl="0" w:tplc="0409000F">
      <w:start w:val="1"/>
      <w:numFmt w:val="decimal"/>
      <w:lvlText w:val="%1."/>
      <w:lvlJc w:val="left"/>
      <w:pPr>
        <w:ind w:left="22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308DC"/>
    <w:multiLevelType w:val="hybridMultilevel"/>
    <w:tmpl w:val="7CBA6BE8"/>
    <w:lvl w:ilvl="0" w:tplc="3D0C4F02">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60D6B8E"/>
    <w:multiLevelType w:val="hybridMultilevel"/>
    <w:tmpl w:val="C3926C8E"/>
    <w:lvl w:ilvl="0" w:tplc="630E905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7C97B59"/>
    <w:multiLevelType w:val="hybridMultilevel"/>
    <w:tmpl w:val="B21EB25C"/>
    <w:lvl w:ilvl="0" w:tplc="3AAEA34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570C"/>
    <w:multiLevelType w:val="hybridMultilevel"/>
    <w:tmpl w:val="BE76268E"/>
    <w:lvl w:ilvl="0" w:tplc="1AF0A85A">
      <w:start w:val="1"/>
      <w:numFmt w:val="upperLetter"/>
      <w:lvlText w:val="%1."/>
      <w:lvlJc w:val="left"/>
      <w:pPr>
        <w:tabs>
          <w:tab w:val="num" w:pos="504"/>
        </w:tabs>
        <w:ind w:left="504" w:hanging="360"/>
      </w:pPr>
      <w:rPr>
        <w:rFonts w:hint="default"/>
        <w:b/>
        <w:color w:val="auto"/>
      </w:rPr>
    </w:lvl>
    <w:lvl w:ilvl="1" w:tplc="9B102736">
      <w:start w:val="1"/>
      <w:numFmt w:val="decimal"/>
      <w:lvlText w:val="%2."/>
      <w:lvlJc w:val="left"/>
      <w:pPr>
        <w:tabs>
          <w:tab w:val="num" w:pos="936"/>
        </w:tabs>
        <w:ind w:left="936" w:hanging="360"/>
      </w:pPr>
      <w:rPr>
        <w:rFonts w:hint="default"/>
        <w:b/>
      </w:rPr>
    </w:lvl>
    <w:lvl w:ilvl="2" w:tplc="D2386498">
      <w:start w:val="1"/>
      <w:numFmt w:val="upperLetter"/>
      <w:lvlText w:val="%3."/>
      <w:lvlJc w:val="left"/>
      <w:pPr>
        <w:tabs>
          <w:tab w:val="num" w:pos="504"/>
        </w:tabs>
        <w:ind w:left="504" w:hanging="360"/>
      </w:pPr>
      <w:rPr>
        <w:rFonts w:hint="default"/>
        <w:b/>
      </w:rPr>
    </w:lvl>
    <w:lvl w:ilvl="3" w:tplc="19BEFE6C">
      <w:start w:val="1"/>
      <w:numFmt w:val="decimal"/>
      <w:lvlText w:val="%4."/>
      <w:lvlJc w:val="left"/>
      <w:pPr>
        <w:tabs>
          <w:tab w:val="num" w:pos="936"/>
        </w:tabs>
        <w:ind w:left="936"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4A4C3B"/>
    <w:multiLevelType w:val="hybridMultilevel"/>
    <w:tmpl w:val="95E050E6"/>
    <w:lvl w:ilvl="0" w:tplc="6EAC300A">
      <w:start w:val="1"/>
      <w:numFmt w:val="upperLetter"/>
      <w:lvlText w:val="%1."/>
      <w:lvlJc w:val="left"/>
      <w:pPr>
        <w:tabs>
          <w:tab w:val="num" w:pos="540"/>
        </w:tabs>
        <w:ind w:left="540" w:hanging="360"/>
      </w:pPr>
      <w:rPr>
        <w:rFonts w:hint="default"/>
      </w:rPr>
    </w:lvl>
    <w:lvl w:ilvl="1" w:tplc="095438F0">
      <w:start w:val="1"/>
      <w:numFmt w:val="lowerLetter"/>
      <w:lvlText w:val="%2."/>
      <w:lvlJc w:val="left"/>
      <w:pPr>
        <w:ind w:left="1890" w:hanging="360"/>
      </w:pPr>
      <w:rPr>
        <w:b/>
      </w:rPr>
    </w:lvl>
    <w:lvl w:ilvl="2" w:tplc="FA5A1BDA">
      <w:start w:val="1"/>
      <w:numFmt w:val="lowerRoman"/>
      <w:lvlText w:val="%3."/>
      <w:lvlJc w:val="right"/>
      <w:pPr>
        <w:ind w:left="1710" w:hanging="180"/>
      </w:pPr>
      <w:rPr>
        <w:b/>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0CE1E50"/>
    <w:multiLevelType w:val="hybridMultilevel"/>
    <w:tmpl w:val="1E02871C"/>
    <w:lvl w:ilvl="0" w:tplc="51D4A0EE">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30646"/>
    <w:multiLevelType w:val="hybridMultilevel"/>
    <w:tmpl w:val="93B2A59C"/>
    <w:lvl w:ilvl="0" w:tplc="0409000F">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F4F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655DC8"/>
    <w:multiLevelType w:val="hybridMultilevel"/>
    <w:tmpl w:val="38BE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47202"/>
    <w:multiLevelType w:val="hybridMultilevel"/>
    <w:tmpl w:val="C00E8990"/>
    <w:lvl w:ilvl="0" w:tplc="ED56A62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4841C6"/>
    <w:multiLevelType w:val="hybridMultilevel"/>
    <w:tmpl w:val="2B748EF0"/>
    <w:lvl w:ilvl="0" w:tplc="5EBE2BD2">
      <w:start w:val="2"/>
      <w:numFmt w:val="decimal"/>
      <w:lvlText w:val="%1."/>
      <w:lvlJc w:val="left"/>
      <w:pPr>
        <w:tabs>
          <w:tab w:val="num" w:pos="900"/>
        </w:tabs>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650E09"/>
    <w:multiLevelType w:val="hybridMultilevel"/>
    <w:tmpl w:val="A2729BA8"/>
    <w:lvl w:ilvl="0" w:tplc="19CCF2AA">
      <w:start w:val="4"/>
      <w:numFmt w:val="upperLetter"/>
      <w:lvlText w:val="%1."/>
      <w:lvlJc w:val="left"/>
      <w:pPr>
        <w:ind w:left="72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15:restartNumberingAfterBreak="0">
    <w:nsid w:val="3A1B5EF8"/>
    <w:multiLevelType w:val="hybridMultilevel"/>
    <w:tmpl w:val="6E6A62A0"/>
    <w:lvl w:ilvl="0" w:tplc="28BC07CC">
      <w:start w:val="1"/>
      <w:numFmt w:val="decimal"/>
      <w:lvlText w:val="%1."/>
      <w:lvlJc w:val="left"/>
      <w:pPr>
        <w:tabs>
          <w:tab w:val="num" w:pos="1530"/>
        </w:tabs>
        <w:ind w:left="1530" w:hanging="360"/>
      </w:pPr>
      <w:rPr>
        <w:rFonts w:hint="default"/>
        <w:b/>
      </w:rPr>
    </w:lvl>
    <w:lvl w:ilvl="1" w:tplc="04090019">
      <w:start w:val="1"/>
      <w:numFmt w:val="lowerLetter"/>
      <w:lvlText w:val="%2."/>
      <w:lvlJc w:val="left"/>
      <w:pPr>
        <w:tabs>
          <w:tab w:val="num" w:pos="2034"/>
        </w:tabs>
        <w:ind w:left="2034" w:hanging="360"/>
      </w:pPr>
    </w:lvl>
    <w:lvl w:ilvl="2" w:tplc="0409001B" w:tentative="1">
      <w:start w:val="1"/>
      <w:numFmt w:val="lowerRoman"/>
      <w:lvlText w:val="%3."/>
      <w:lvlJc w:val="right"/>
      <w:pPr>
        <w:tabs>
          <w:tab w:val="num" w:pos="2754"/>
        </w:tabs>
        <w:ind w:left="2754" w:hanging="180"/>
      </w:pPr>
    </w:lvl>
    <w:lvl w:ilvl="3" w:tplc="0409000F" w:tentative="1">
      <w:start w:val="1"/>
      <w:numFmt w:val="decimal"/>
      <w:lvlText w:val="%4."/>
      <w:lvlJc w:val="left"/>
      <w:pPr>
        <w:tabs>
          <w:tab w:val="num" w:pos="3474"/>
        </w:tabs>
        <w:ind w:left="3474" w:hanging="360"/>
      </w:pPr>
    </w:lvl>
    <w:lvl w:ilvl="4" w:tplc="04090019" w:tentative="1">
      <w:start w:val="1"/>
      <w:numFmt w:val="lowerLetter"/>
      <w:lvlText w:val="%5."/>
      <w:lvlJc w:val="left"/>
      <w:pPr>
        <w:tabs>
          <w:tab w:val="num" w:pos="4194"/>
        </w:tabs>
        <w:ind w:left="4194" w:hanging="360"/>
      </w:pPr>
    </w:lvl>
    <w:lvl w:ilvl="5" w:tplc="0409001B" w:tentative="1">
      <w:start w:val="1"/>
      <w:numFmt w:val="lowerRoman"/>
      <w:lvlText w:val="%6."/>
      <w:lvlJc w:val="right"/>
      <w:pPr>
        <w:tabs>
          <w:tab w:val="num" w:pos="4914"/>
        </w:tabs>
        <w:ind w:left="4914" w:hanging="180"/>
      </w:pPr>
    </w:lvl>
    <w:lvl w:ilvl="6" w:tplc="0409000F" w:tentative="1">
      <w:start w:val="1"/>
      <w:numFmt w:val="decimal"/>
      <w:lvlText w:val="%7."/>
      <w:lvlJc w:val="left"/>
      <w:pPr>
        <w:tabs>
          <w:tab w:val="num" w:pos="5634"/>
        </w:tabs>
        <w:ind w:left="5634" w:hanging="360"/>
      </w:pPr>
    </w:lvl>
    <w:lvl w:ilvl="7" w:tplc="04090019" w:tentative="1">
      <w:start w:val="1"/>
      <w:numFmt w:val="lowerLetter"/>
      <w:lvlText w:val="%8."/>
      <w:lvlJc w:val="left"/>
      <w:pPr>
        <w:tabs>
          <w:tab w:val="num" w:pos="6354"/>
        </w:tabs>
        <w:ind w:left="6354" w:hanging="360"/>
      </w:pPr>
    </w:lvl>
    <w:lvl w:ilvl="8" w:tplc="0409001B" w:tentative="1">
      <w:start w:val="1"/>
      <w:numFmt w:val="lowerRoman"/>
      <w:lvlText w:val="%9."/>
      <w:lvlJc w:val="right"/>
      <w:pPr>
        <w:tabs>
          <w:tab w:val="num" w:pos="7074"/>
        </w:tabs>
        <w:ind w:left="7074" w:hanging="180"/>
      </w:pPr>
    </w:lvl>
  </w:abstractNum>
  <w:abstractNum w:abstractNumId="30" w15:restartNumberingAfterBreak="0">
    <w:nsid w:val="3F820FF1"/>
    <w:multiLevelType w:val="hybridMultilevel"/>
    <w:tmpl w:val="7758F068"/>
    <w:lvl w:ilvl="0" w:tplc="00AC3B7C">
      <w:start w:val="8"/>
      <w:numFmt w:val="upperLetter"/>
      <w:pStyle w:val="Heading6"/>
      <w:lvlText w:val="%1."/>
      <w:lvlJc w:val="left"/>
      <w:pPr>
        <w:tabs>
          <w:tab w:val="num" w:pos="504"/>
        </w:tabs>
        <w:ind w:left="504"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A733BE"/>
    <w:multiLevelType w:val="hybridMultilevel"/>
    <w:tmpl w:val="8D7667D2"/>
    <w:lvl w:ilvl="0" w:tplc="57166176">
      <w:start w:val="1"/>
      <w:numFmt w:val="decimal"/>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3FE90FCC"/>
    <w:multiLevelType w:val="hybridMultilevel"/>
    <w:tmpl w:val="6E16B142"/>
    <w:lvl w:ilvl="0" w:tplc="04090017">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3" w15:restartNumberingAfterBreak="0">
    <w:nsid w:val="42435735"/>
    <w:multiLevelType w:val="hybridMultilevel"/>
    <w:tmpl w:val="2DC2DE16"/>
    <w:lvl w:ilvl="0" w:tplc="0409000F">
      <w:start w:val="1"/>
      <w:numFmt w:val="decimal"/>
      <w:lvlText w:val="%1."/>
      <w:lvlJc w:val="left"/>
      <w:pPr>
        <w:ind w:left="540" w:hanging="360"/>
      </w:pPr>
      <w:rPr>
        <w:rFonts w:hint="default"/>
        <w:b/>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30C5FCB"/>
    <w:multiLevelType w:val="hybridMultilevel"/>
    <w:tmpl w:val="EBC800B4"/>
    <w:lvl w:ilvl="0" w:tplc="36A0EBA6">
      <w:start w:val="1"/>
      <w:numFmt w:val="upp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3706CD8"/>
    <w:multiLevelType w:val="hybridMultilevel"/>
    <w:tmpl w:val="E52C6A5E"/>
    <w:lvl w:ilvl="0" w:tplc="5B94C8D4">
      <w:start w:val="1"/>
      <w:numFmt w:val="upperLetter"/>
      <w:pStyle w:val="Heading2"/>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BF2B50"/>
    <w:multiLevelType w:val="hybridMultilevel"/>
    <w:tmpl w:val="CF743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50D31"/>
    <w:multiLevelType w:val="hybridMultilevel"/>
    <w:tmpl w:val="FB7ED36E"/>
    <w:lvl w:ilvl="0" w:tplc="A6E8B052">
      <w:start w:val="1"/>
      <w:numFmt w:val="upp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44F82576"/>
    <w:multiLevelType w:val="hybridMultilevel"/>
    <w:tmpl w:val="643E3E52"/>
    <w:lvl w:ilvl="0" w:tplc="1BAE5BF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39" w15:restartNumberingAfterBreak="0">
    <w:nsid w:val="4A8338CE"/>
    <w:multiLevelType w:val="multilevel"/>
    <w:tmpl w:val="C11022C0"/>
    <w:lvl w:ilvl="0">
      <w:start w:val="1"/>
      <w:numFmt w:val="lowerLetter"/>
      <w:lvlText w:val="%1."/>
      <w:lvlJc w:val="left"/>
      <w:pPr>
        <w:tabs>
          <w:tab w:val="num" w:pos="1980"/>
        </w:tabs>
        <w:ind w:left="1980" w:hanging="360"/>
      </w:pPr>
      <w:rPr>
        <w:b/>
      </w:r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40" w15:restartNumberingAfterBreak="0">
    <w:nsid w:val="4CEE060F"/>
    <w:multiLevelType w:val="hybridMultilevel"/>
    <w:tmpl w:val="59428A8E"/>
    <w:lvl w:ilvl="0" w:tplc="0F3003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60D09"/>
    <w:multiLevelType w:val="hybridMultilevel"/>
    <w:tmpl w:val="9BAC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A5A9C"/>
    <w:multiLevelType w:val="hybridMultilevel"/>
    <w:tmpl w:val="C5E0DEE4"/>
    <w:lvl w:ilvl="0" w:tplc="93D4DA7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92F55"/>
    <w:multiLevelType w:val="hybridMultilevel"/>
    <w:tmpl w:val="CEDC77AC"/>
    <w:lvl w:ilvl="0" w:tplc="4644F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741E19A2">
      <w:start w:val="1"/>
      <w:numFmt w:val="lowerLetter"/>
      <w:lvlText w:val="%5."/>
      <w:lvlJc w:val="left"/>
      <w:pPr>
        <w:ind w:left="72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4707F1"/>
    <w:multiLevelType w:val="hybridMultilevel"/>
    <w:tmpl w:val="931A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D01C4"/>
    <w:multiLevelType w:val="hybridMultilevel"/>
    <w:tmpl w:val="F90E2C68"/>
    <w:lvl w:ilvl="0" w:tplc="E3586502">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3F04FE"/>
    <w:multiLevelType w:val="hybridMultilevel"/>
    <w:tmpl w:val="B426B17A"/>
    <w:lvl w:ilvl="0" w:tplc="E4C05EB8">
      <w:start w:val="1"/>
      <w:numFmt w:val="upperLetter"/>
      <w:lvlText w:val="%1."/>
      <w:lvlJc w:val="left"/>
      <w:pPr>
        <w:tabs>
          <w:tab w:val="num" w:pos="810"/>
        </w:tabs>
        <w:ind w:left="810" w:hanging="360"/>
      </w:pPr>
      <w:rPr>
        <w:rFonts w:hint="default"/>
      </w:rPr>
    </w:lvl>
    <w:lvl w:ilvl="1" w:tplc="0409000F">
      <w:start w:val="1"/>
      <w:numFmt w:val="decimal"/>
      <w:lvlText w:val="%2."/>
      <w:lvlJc w:val="left"/>
      <w:pPr>
        <w:tabs>
          <w:tab w:val="num" w:pos="540"/>
        </w:tabs>
        <w:ind w:left="540" w:hanging="360"/>
      </w:pPr>
      <w:rPr>
        <w:rFonts w:hint="default"/>
        <w:b/>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720"/>
        </w:tabs>
        <w:ind w:left="720" w:hanging="360"/>
      </w:pPr>
      <w:rPr>
        <w:b/>
      </w:rPr>
    </w:lvl>
    <w:lvl w:ilvl="4" w:tplc="04090017">
      <w:start w:val="1"/>
      <w:numFmt w:val="lowerLetter"/>
      <w:lvlText w:val="%5)"/>
      <w:lvlJc w:val="left"/>
      <w:pPr>
        <w:ind w:left="1260" w:hanging="360"/>
      </w:pPr>
      <w:rPr>
        <w:rFonts w:hint="default"/>
        <w:b/>
      </w:rPr>
    </w:lvl>
    <w:lvl w:ilvl="5" w:tplc="E3586502">
      <w:start w:val="4"/>
      <w:numFmt w:val="decimal"/>
      <w:lvlText w:val="%6."/>
      <w:lvlJc w:val="left"/>
      <w:pPr>
        <w:ind w:left="45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2534DC"/>
    <w:multiLevelType w:val="hybridMultilevel"/>
    <w:tmpl w:val="55784C08"/>
    <w:lvl w:ilvl="0" w:tplc="87262FB2">
      <w:start w:val="1"/>
      <w:numFmt w:val="upperLetter"/>
      <w:lvlText w:val="%1."/>
      <w:lvlJc w:val="left"/>
      <w:pPr>
        <w:tabs>
          <w:tab w:val="num" w:pos="50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B303B5"/>
    <w:multiLevelType w:val="hybridMultilevel"/>
    <w:tmpl w:val="9F3C731C"/>
    <w:lvl w:ilvl="0" w:tplc="0409000F">
      <w:start w:val="1"/>
      <w:numFmt w:val="decimal"/>
      <w:lvlText w:val="%1."/>
      <w:lvlJc w:val="left"/>
      <w:pPr>
        <w:tabs>
          <w:tab w:val="num" w:pos="900"/>
        </w:tabs>
        <w:ind w:left="900" w:hanging="360"/>
      </w:pPr>
      <w:rPr>
        <w:rFonts w:hint="default"/>
        <w:b/>
      </w:rPr>
    </w:lvl>
    <w:lvl w:ilvl="1" w:tplc="0CA67D2E">
      <w:start w:val="1"/>
      <w:numFmt w:val="lowerLetter"/>
      <w:lvlText w:val="%2."/>
      <w:lvlJc w:val="left"/>
      <w:pPr>
        <w:tabs>
          <w:tab w:val="num" w:pos="2034"/>
        </w:tabs>
        <w:ind w:left="2034" w:hanging="360"/>
      </w:pPr>
      <w:rPr>
        <w:b/>
      </w:rPr>
    </w:lvl>
    <w:lvl w:ilvl="2" w:tplc="0409001B" w:tentative="1">
      <w:start w:val="1"/>
      <w:numFmt w:val="lowerRoman"/>
      <w:lvlText w:val="%3."/>
      <w:lvlJc w:val="right"/>
      <w:pPr>
        <w:tabs>
          <w:tab w:val="num" w:pos="2754"/>
        </w:tabs>
        <w:ind w:left="2754" w:hanging="180"/>
      </w:pPr>
    </w:lvl>
    <w:lvl w:ilvl="3" w:tplc="0409000F" w:tentative="1">
      <w:start w:val="1"/>
      <w:numFmt w:val="decimal"/>
      <w:lvlText w:val="%4."/>
      <w:lvlJc w:val="left"/>
      <w:pPr>
        <w:tabs>
          <w:tab w:val="num" w:pos="3474"/>
        </w:tabs>
        <w:ind w:left="3474" w:hanging="360"/>
      </w:pPr>
    </w:lvl>
    <w:lvl w:ilvl="4" w:tplc="04090019" w:tentative="1">
      <w:start w:val="1"/>
      <w:numFmt w:val="lowerLetter"/>
      <w:lvlText w:val="%5."/>
      <w:lvlJc w:val="left"/>
      <w:pPr>
        <w:tabs>
          <w:tab w:val="num" w:pos="4194"/>
        </w:tabs>
        <w:ind w:left="4194" w:hanging="360"/>
      </w:pPr>
    </w:lvl>
    <w:lvl w:ilvl="5" w:tplc="0409001B" w:tentative="1">
      <w:start w:val="1"/>
      <w:numFmt w:val="lowerRoman"/>
      <w:lvlText w:val="%6."/>
      <w:lvlJc w:val="right"/>
      <w:pPr>
        <w:tabs>
          <w:tab w:val="num" w:pos="4914"/>
        </w:tabs>
        <w:ind w:left="4914" w:hanging="180"/>
      </w:pPr>
    </w:lvl>
    <w:lvl w:ilvl="6" w:tplc="0409000F" w:tentative="1">
      <w:start w:val="1"/>
      <w:numFmt w:val="decimal"/>
      <w:lvlText w:val="%7."/>
      <w:lvlJc w:val="left"/>
      <w:pPr>
        <w:tabs>
          <w:tab w:val="num" w:pos="5634"/>
        </w:tabs>
        <w:ind w:left="5634" w:hanging="360"/>
      </w:pPr>
    </w:lvl>
    <w:lvl w:ilvl="7" w:tplc="04090019" w:tentative="1">
      <w:start w:val="1"/>
      <w:numFmt w:val="lowerLetter"/>
      <w:lvlText w:val="%8."/>
      <w:lvlJc w:val="left"/>
      <w:pPr>
        <w:tabs>
          <w:tab w:val="num" w:pos="6354"/>
        </w:tabs>
        <w:ind w:left="6354" w:hanging="360"/>
      </w:pPr>
    </w:lvl>
    <w:lvl w:ilvl="8" w:tplc="0409001B" w:tentative="1">
      <w:start w:val="1"/>
      <w:numFmt w:val="lowerRoman"/>
      <w:lvlText w:val="%9."/>
      <w:lvlJc w:val="right"/>
      <w:pPr>
        <w:tabs>
          <w:tab w:val="num" w:pos="7074"/>
        </w:tabs>
        <w:ind w:left="7074" w:hanging="180"/>
      </w:pPr>
    </w:lvl>
  </w:abstractNum>
  <w:abstractNum w:abstractNumId="49" w15:restartNumberingAfterBreak="0">
    <w:nsid w:val="6AA46B0A"/>
    <w:multiLevelType w:val="hybridMultilevel"/>
    <w:tmpl w:val="F0E4247E"/>
    <w:lvl w:ilvl="0" w:tplc="42AC1D00">
      <w:start w:val="1"/>
      <w:numFmt w:val="upperLetter"/>
      <w:pStyle w:val="Heading4"/>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5C5D62"/>
    <w:multiLevelType w:val="hybridMultilevel"/>
    <w:tmpl w:val="B2060D76"/>
    <w:lvl w:ilvl="0" w:tplc="BC688BB4">
      <w:start w:val="1"/>
      <w:numFmt w:val="lowerLetter"/>
      <w:lvlText w:val="%1)"/>
      <w:lvlJc w:val="left"/>
      <w:pPr>
        <w:ind w:left="720" w:hanging="360"/>
      </w:pPr>
      <w:rPr>
        <w:rFonts w:hint="default"/>
        <w:b/>
        <w:i w:val="0"/>
        <w:sz w:val="22"/>
        <w:szCs w:val="22"/>
      </w:rPr>
    </w:lvl>
    <w:lvl w:ilvl="1" w:tplc="A19E9394">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9374B3"/>
    <w:multiLevelType w:val="hybridMultilevel"/>
    <w:tmpl w:val="0B74E748"/>
    <w:lvl w:ilvl="0" w:tplc="6BCCEC3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22C5090"/>
    <w:multiLevelType w:val="hybridMultilevel"/>
    <w:tmpl w:val="B65A4472"/>
    <w:lvl w:ilvl="0" w:tplc="9E245DA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742E5DD3"/>
    <w:multiLevelType w:val="hybridMultilevel"/>
    <w:tmpl w:val="01822116"/>
    <w:lvl w:ilvl="0" w:tplc="BE60E7D0">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74DD0652"/>
    <w:multiLevelType w:val="hybridMultilevel"/>
    <w:tmpl w:val="5F603892"/>
    <w:lvl w:ilvl="0" w:tplc="72CA3568">
      <w:start w:val="1"/>
      <w:numFmt w:val="upperLetter"/>
      <w:lvlText w:val="%1."/>
      <w:lvlJc w:val="left"/>
      <w:pPr>
        <w:tabs>
          <w:tab w:val="num" w:pos="2160"/>
        </w:tabs>
        <w:ind w:left="2160" w:hanging="360"/>
      </w:pPr>
      <w:rPr>
        <w:rFonts w:hint="default"/>
        <w:b/>
      </w:rPr>
    </w:lvl>
    <w:lvl w:ilvl="1" w:tplc="2B1C4614">
      <w:start w:val="1"/>
      <w:numFmt w:val="upperLetter"/>
      <w:lvlText w:val="%2."/>
      <w:lvlJc w:val="left"/>
      <w:pPr>
        <w:tabs>
          <w:tab w:val="num" w:pos="1350"/>
        </w:tabs>
        <w:ind w:left="1350" w:hanging="360"/>
      </w:pPr>
      <w:rPr>
        <w:rFonts w:hint="default"/>
        <w:b/>
        <w:i w:val="0"/>
      </w:rPr>
    </w:lvl>
    <w:lvl w:ilvl="2" w:tplc="B2F04F0A">
      <w:start w:val="10"/>
      <w:numFmt w:val="decimal"/>
      <w:lvlText w:val="%3."/>
      <w:lvlJc w:val="left"/>
      <w:pPr>
        <w:ind w:left="990" w:hanging="360"/>
      </w:pPr>
      <w:rPr>
        <w:rFonts w:hint="default"/>
      </w:rPr>
    </w:lvl>
    <w:lvl w:ilvl="3" w:tplc="BA7A6080">
      <w:start w:val="4"/>
      <w:numFmt w:val="lowerLetter"/>
      <w:lvlText w:val="%4."/>
      <w:lvlJc w:val="left"/>
      <w:pPr>
        <w:ind w:left="1260" w:hanging="360"/>
      </w:pPr>
      <w:rPr>
        <w:rFonts w:hint="default"/>
        <w:b/>
      </w:rPr>
    </w:lvl>
    <w:lvl w:ilvl="4" w:tplc="9432C5DA">
      <w:start w:val="1"/>
      <w:numFmt w:val="lowerLetter"/>
      <w:lvlText w:val="%5)"/>
      <w:lvlJc w:val="left"/>
      <w:pPr>
        <w:tabs>
          <w:tab w:val="num" w:pos="720"/>
        </w:tabs>
        <w:ind w:left="720" w:hanging="360"/>
      </w:pPr>
      <w:rPr>
        <w:b/>
        <w:sz w:val="22"/>
        <w:szCs w:val="22"/>
      </w:r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55" w15:restartNumberingAfterBreak="0">
    <w:nsid w:val="75F16C83"/>
    <w:multiLevelType w:val="hybridMultilevel"/>
    <w:tmpl w:val="06240490"/>
    <w:lvl w:ilvl="0" w:tplc="04090017">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76BA070E"/>
    <w:multiLevelType w:val="hybridMultilevel"/>
    <w:tmpl w:val="C3926C8E"/>
    <w:lvl w:ilvl="0" w:tplc="630E905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77635678"/>
    <w:multiLevelType w:val="hybridMultilevel"/>
    <w:tmpl w:val="27FC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742E20"/>
    <w:multiLevelType w:val="hybridMultilevel"/>
    <w:tmpl w:val="65E2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44BD4"/>
    <w:multiLevelType w:val="hybridMultilevel"/>
    <w:tmpl w:val="9A9A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7"/>
  </w:num>
  <w:num w:numId="3">
    <w:abstractNumId w:val="29"/>
  </w:num>
  <w:num w:numId="4">
    <w:abstractNumId w:val="7"/>
  </w:num>
  <w:num w:numId="5">
    <w:abstractNumId w:val="48"/>
  </w:num>
  <w:num w:numId="6">
    <w:abstractNumId w:val="20"/>
  </w:num>
  <w:num w:numId="7">
    <w:abstractNumId w:val="1"/>
  </w:num>
  <w:num w:numId="8">
    <w:abstractNumId w:val="49"/>
  </w:num>
  <w:num w:numId="9">
    <w:abstractNumId w:val="6"/>
  </w:num>
  <w:num w:numId="10">
    <w:abstractNumId w:val="30"/>
  </w:num>
  <w:num w:numId="11">
    <w:abstractNumId w:val="52"/>
  </w:num>
  <w:num w:numId="12">
    <w:abstractNumId w:val="39"/>
  </w:num>
  <w:num w:numId="13">
    <w:abstractNumId w:val="14"/>
  </w:num>
  <w:num w:numId="14">
    <w:abstractNumId w:val="28"/>
  </w:num>
  <w:num w:numId="15">
    <w:abstractNumId w:val="53"/>
  </w:num>
  <w:num w:numId="16">
    <w:abstractNumId w:val="27"/>
  </w:num>
  <w:num w:numId="17">
    <w:abstractNumId w:val="5"/>
  </w:num>
  <w:num w:numId="18">
    <w:abstractNumId w:val="16"/>
  </w:num>
  <w:num w:numId="19">
    <w:abstractNumId w:val="36"/>
  </w:num>
  <w:num w:numId="20">
    <w:abstractNumId w:val="35"/>
  </w:num>
  <w:num w:numId="21">
    <w:abstractNumId w:val="58"/>
  </w:num>
  <w:num w:numId="22">
    <w:abstractNumId w:val="59"/>
  </w:num>
  <w:num w:numId="23">
    <w:abstractNumId w:val="57"/>
  </w:num>
  <w:num w:numId="24">
    <w:abstractNumId w:val="25"/>
  </w:num>
  <w:num w:numId="25">
    <w:abstractNumId w:val="2"/>
  </w:num>
  <w:num w:numId="26">
    <w:abstractNumId w:val="41"/>
  </w:num>
  <w:num w:numId="27">
    <w:abstractNumId w:val="0"/>
  </w:num>
  <w:num w:numId="28">
    <w:abstractNumId w:val="54"/>
  </w:num>
  <w:num w:numId="29">
    <w:abstractNumId w:val="15"/>
  </w:num>
  <w:num w:numId="30">
    <w:abstractNumId w:val="13"/>
  </w:num>
  <w:num w:numId="31">
    <w:abstractNumId w:val="55"/>
  </w:num>
  <w:num w:numId="32">
    <w:abstractNumId w:val="21"/>
  </w:num>
  <w:num w:numId="33">
    <w:abstractNumId w:val="34"/>
  </w:num>
  <w:num w:numId="34">
    <w:abstractNumId w:val="50"/>
  </w:num>
  <w:num w:numId="35">
    <w:abstractNumId w:val="23"/>
  </w:num>
  <w:num w:numId="36">
    <w:abstractNumId w:val="33"/>
  </w:num>
  <w:num w:numId="37">
    <w:abstractNumId w:val="38"/>
  </w:num>
  <w:num w:numId="38">
    <w:abstractNumId w:val="10"/>
  </w:num>
  <w:num w:numId="39">
    <w:abstractNumId w:val="3"/>
  </w:num>
  <w:num w:numId="40">
    <w:abstractNumId w:val="4"/>
  </w:num>
  <w:num w:numId="41">
    <w:abstractNumId w:val="56"/>
  </w:num>
  <w:num w:numId="42">
    <w:abstractNumId w:val="43"/>
  </w:num>
  <w:num w:numId="43">
    <w:abstractNumId w:val="19"/>
  </w:num>
  <w:num w:numId="44">
    <w:abstractNumId w:val="9"/>
  </w:num>
  <w:num w:numId="45">
    <w:abstractNumId w:val="32"/>
  </w:num>
  <w:num w:numId="46">
    <w:abstractNumId w:val="37"/>
  </w:num>
  <w:num w:numId="47">
    <w:abstractNumId w:val="31"/>
  </w:num>
  <w:num w:numId="48">
    <w:abstractNumId w:val="26"/>
  </w:num>
  <w:num w:numId="49">
    <w:abstractNumId w:val="46"/>
  </w:num>
  <w:num w:numId="50">
    <w:abstractNumId w:val="51"/>
  </w:num>
  <w:num w:numId="51">
    <w:abstractNumId w:val="42"/>
  </w:num>
  <w:num w:numId="52">
    <w:abstractNumId w:val="40"/>
  </w:num>
  <w:num w:numId="53">
    <w:abstractNumId w:val="18"/>
  </w:num>
  <w:num w:numId="54">
    <w:abstractNumId w:val="45"/>
  </w:num>
  <w:num w:numId="55">
    <w:abstractNumId w:val="8"/>
  </w:num>
  <w:num w:numId="56">
    <w:abstractNumId w:val="22"/>
  </w:num>
  <w:num w:numId="57">
    <w:abstractNumId w:val="17"/>
  </w:num>
  <w:num w:numId="58">
    <w:abstractNumId w:val="24"/>
  </w:num>
  <w:num w:numId="59">
    <w:abstractNumId w:val="44"/>
  </w:num>
  <w:num w:numId="60">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20"/>
    <w:rsid w:val="000007EF"/>
    <w:rsid w:val="000020BE"/>
    <w:rsid w:val="00011CE4"/>
    <w:rsid w:val="00012BD7"/>
    <w:rsid w:val="00013856"/>
    <w:rsid w:val="00013F3E"/>
    <w:rsid w:val="000156F4"/>
    <w:rsid w:val="00020425"/>
    <w:rsid w:val="00021DB4"/>
    <w:rsid w:val="00023446"/>
    <w:rsid w:val="00026CAE"/>
    <w:rsid w:val="00026FA1"/>
    <w:rsid w:val="0003366C"/>
    <w:rsid w:val="00035806"/>
    <w:rsid w:val="0003592B"/>
    <w:rsid w:val="00035E6D"/>
    <w:rsid w:val="00041924"/>
    <w:rsid w:val="00043152"/>
    <w:rsid w:val="00043C74"/>
    <w:rsid w:val="00043EE4"/>
    <w:rsid w:val="00050664"/>
    <w:rsid w:val="0005476C"/>
    <w:rsid w:val="00055ACF"/>
    <w:rsid w:val="00061042"/>
    <w:rsid w:val="000614BB"/>
    <w:rsid w:val="00064204"/>
    <w:rsid w:val="00064428"/>
    <w:rsid w:val="00064FED"/>
    <w:rsid w:val="000653F8"/>
    <w:rsid w:val="00066FAF"/>
    <w:rsid w:val="00073012"/>
    <w:rsid w:val="0007637F"/>
    <w:rsid w:val="00080020"/>
    <w:rsid w:val="00086EAF"/>
    <w:rsid w:val="00093F6E"/>
    <w:rsid w:val="000A0CE2"/>
    <w:rsid w:val="000A4966"/>
    <w:rsid w:val="000B15E2"/>
    <w:rsid w:val="000B1B9C"/>
    <w:rsid w:val="000B4451"/>
    <w:rsid w:val="000B45CB"/>
    <w:rsid w:val="000B54AE"/>
    <w:rsid w:val="000C0FCD"/>
    <w:rsid w:val="000C3FD3"/>
    <w:rsid w:val="000C733C"/>
    <w:rsid w:val="000E15FF"/>
    <w:rsid w:val="000E60E0"/>
    <w:rsid w:val="000F5B76"/>
    <w:rsid w:val="000F71CE"/>
    <w:rsid w:val="001012C5"/>
    <w:rsid w:val="00101C06"/>
    <w:rsid w:val="001072FF"/>
    <w:rsid w:val="001103F7"/>
    <w:rsid w:val="0011058F"/>
    <w:rsid w:val="00117816"/>
    <w:rsid w:val="001226AA"/>
    <w:rsid w:val="00122E65"/>
    <w:rsid w:val="0012671C"/>
    <w:rsid w:val="00131601"/>
    <w:rsid w:val="00135EFB"/>
    <w:rsid w:val="001375F6"/>
    <w:rsid w:val="00137F31"/>
    <w:rsid w:val="00137F7D"/>
    <w:rsid w:val="0014251D"/>
    <w:rsid w:val="00164462"/>
    <w:rsid w:val="00164585"/>
    <w:rsid w:val="00170237"/>
    <w:rsid w:val="001721CD"/>
    <w:rsid w:val="00173AF2"/>
    <w:rsid w:val="0018043A"/>
    <w:rsid w:val="001A0605"/>
    <w:rsid w:val="001A5F8E"/>
    <w:rsid w:val="001A738F"/>
    <w:rsid w:val="001B342D"/>
    <w:rsid w:val="001B61ED"/>
    <w:rsid w:val="001B74F0"/>
    <w:rsid w:val="001C4F3A"/>
    <w:rsid w:val="001C557D"/>
    <w:rsid w:val="001D0AEB"/>
    <w:rsid w:val="001D5A32"/>
    <w:rsid w:val="001E305F"/>
    <w:rsid w:val="001E3832"/>
    <w:rsid w:val="001F0606"/>
    <w:rsid w:val="001F0DC7"/>
    <w:rsid w:val="001F0EDD"/>
    <w:rsid w:val="00206B62"/>
    <w:rsid w:val="00210786"/>
    <w:rsid w:val="00215E54"/>
    <w:rsid w:val="00220CF5"/>
    <w:rsid w:val="00231E17"/>
    <w:rsid w:val="002321C2"/>
    <w:rsid w:val="00234664"/>
    <w:rsid w:val="002457B8"/>
    <w:rsid w:val="002464A3"/>
    <w:rsid w:val="00252C4C"/>
    <w:rsid w:val="00253556"/>
    <w:rsid w:val="0025365B"/>
    <w:rsid w:val="00274084"/>
    <w:rsid w:val="002742B9"/>
    <w:rsid w:val="002747B9"/>
    <w:rsid w:val="002748D0"/>
    <w:rsid w:val="00274980"/>
    <w:rsid w:val="00276221"/>
    <w:rsid w:val="00282EA6"/>
    <w:rsid w:val="0028640F"/>
    <w:rsid w:val="00292415"/>
    <w:rsid w:val="00297F2D"/>
    <w:rsid w:val="002A2BE1"/>
    <w:rsid w:val="002A2FF5"/>
    <w:rsid w:val="002A3A9F"/>
    <w:rsid w:val="002A6130"/>
    <w:rsid w:val="002B09E1"/>
    <w:rsid w:val="002B2419"/>
    <w:rsid w:val="002B370E"/>
    <w:rsid w:val="002B43D9"/>
    <w:rsid w:val="002C0524"/>
    <w:rsid w:val="002C14F7"/>
    <w:rsid w:val="002C1B19"/>
    <w:rsid w:val="002C48CF"/>
    <w:rsid w:val="002C6EB8"/>
    <w:rsid w:val="002C70F1"/>
    <w:rsid w:val="002D05EB"/>
    <w:rsid w:val="002D0EF8"/>
    <w:rsid w:val="002D1983"/>
    <w:rsid w:val="002D2CB9"/>
    <w:rsid w:val="002D3160"/>
    <w:rsid w:val="002E0F74"/>
    <w:rsid w:val="002E3F18"/>
    <w:rsid w:val="002E47C6"/>
    <w:rsid w:val="002E64A6"/>
    <w:rsid w:val="002F3C2C"/>
    <w:rsid w:val="002F63E9"/>
    <w:rsid w:val="0030305A"/>
    <w:rsid w:val="00303597"/>
    <w:rsid w:val="003050DA"/>
    <w:rsid w:val="003163E7"/>
    <w:rsid w:val="00316CB3"/>
    <w:rsid w:val="00330218"/>
    <w:rsid w:val="0033068B"/>
    <w:rsid w:val="00340F9C"/>
    <w:rsid w:val="003415DD"/>
    <w:rsid w:val="003453BF"/>
    <w:rsid w:val="0035084B"/>
    <w:rsid w:val="00350AE8"/>
    <w:rsid w:val="00353388"/>
    <w:rsid w:val="00354569"/>
    <w:rsid w:val="00363A1E"/>
    <w:rsid w:val="00364287"/>
    <w:rsid w:val="003668E8"/>
    <w:rsid w:val="003A39FE"/>
    <w:rsid w:val="003A444C"/>
    <w:rsid w:val="003A4498"/>
    <w:rsid w:val="003B5BCF"/>
    <w:rsid w:val="003B69F7"/>
    <w:rsid w:val="003D0EC8"/>
    <w:rsid w:val="003E4EC5"/>
    <w:rsid w:val="003E7972"/>
    <w:rsid w:val="003E7DC0"/>
    <w:rsid w:val="003F06CF"/>
    <w:rsid w:val="004013A2"/>
    <w:rsid w:val="00403B08"/>
    <w:rsid w:val="004156BE"/>
    <w:rsid w:val="00415AC1"/>
    <w:rsid w:val="00424D5F"/>
    <w:rsid w:val="00424EB1"/>
    <w:rsid w:val="00425D90"/>
    <w:rsid w:val="00430D28"/>
    <w:rsid w:val="004353CE"/>
    <w:rsid w:val="004356ED"/>
    <w:rsid w:val="00437D88"/>
    <w:rsid w:val="00440FAC"/>
    <w:rsid w:val="004416EC"/>
    <w:rsid w:val="00441FFC"/>
    <w:rsid w:val="00445B0A"/>
    <w:rsid w:val="004475DA"/>
    <w:rsid w:val="0045098B"/>
    <w:rsid w:val="00455AB7"/>
    <w:rsid w:val="00456EC6"/>
    <w:rsid w:val="00470766"/>
    <w:rsid w:val="0047676D"/>
    <w:rsid w:val="00476F7F"/>
    <w:rsid w:val="004852CA"/>
    <w:rsid w:val="00486224"/>
    <w:rsid w:val="00487AC7"/>
    <w:rsid w:val="00497015"/>
    <w:rsid w:val="004A672F"/>
    <w:rsid w:val="004B040A"/>
    <w:rsid w:val="004B3B9F"/>
    <w:rsid w:val="004B751E"/>
    <w:rsid w:val="004B762B"/>
    <w:rsid w:val="004C0257"/>
    <w:rsid w:val="004C727B"/>
    <w:rsid w:val="004D095D"/>
    <w:rsid w:val="004D2487"/>
    <w:rsid w:val="004D3082"/>
    <w:rsid w:val="004D466D"/>
    <w:rsid w:val="004D4D7F"/>
    <w:rsid w:val="004E6700"/>
    <w:rsid w:val="004F38C7"/>
    <w:rsid w:val="004F440B"/>
    <w:rsid w:val="00500060"/>
    <w:rsid w:val="00500E42"/>
    <w:rsid w:val="00507A75"/>
    <w:rsid w:val="005129CF"/>
    <w:rsid w:val="00515554"/>
    <w:rsid w:val="00517A78"/>
    <w:rsid w:val="005205AB"/>
    <w:rsid w:val="00520745"/>
    <w:rsid w:val="005223DA"/>
    <w:rsid w:val="00523438"/>
    <w:rsid w:val="0052624D"/>
    <w:rsid w:val="005265FE"/>
    <w:rsid w:val="00531363"/>
    <w:rsid w:val="0053215F"/>
    <w:rsid w:val="0053250B"/>
    <w:rsid w:val="00535BF8"/>
    <w:rsid w:val="005373F7"/>
    <w:rsid w:val="00545835"/>
    <w:rsid w:val="0055000F"/>
    <w:rsid w:val="00553F1B"/>
    <w:rsid w:val="00566EBC"/>
    <w:rsid w:val="00571E2F"/>
    <w:rsid w:val="00575B4B"/>
    <w:rsid w:val="00576458"/>
    <w:rsid w:val="00577B58"/>
    <w:rsid w:val="005822D8"/>
    <w:rsid w:val="00587AB1"/>
    <w:rsid w:val="00590EB0"/>
    <w:rsid w:val="00590FD0"/>
    <w:rsid w:val="00592753"/>
    <w:rsid w:val="005936A3"/>
    <w:rsid w:val="005966BA"/>
    <w:rsid w:val="005973DA"/>
    <w:rsid w:val="005A1050"/>
    <w:rsid w:val="005A3256"/>
    <w:rsid w:val="005A50A1"/>
    <w:rsid w:val="005A522B"/>
    <w:rsid w:val="005A5593"/>
    <w:rsid w:val="005A617E"/>
    <w:rsid w:val="005A7464"/>
    <w:rsid w:val="005C5204"/>
    <w:rsid w:val="005D4F7D"/>
    <w:rsid w:val="005D6FD9"/>
    <w:rsid w:val="005D7E41"/>
    <w:rsid w:val="005D7F3B"/>
    <w:rsid w:val="005E3017"/>
    <w:rsid w:val="005E3941"/>
    <w:rsid w:val="005F5C0F"/>
    <w:rsid w:val="005F624B"/>
    <w:rsid w:val="005F7326"/>
    <w:rsid w:val="005F7C4B"/>
    <w:rsid w:val="00612EB5"/>
    <w:rsid w:val="0061313A"/>
    <w:rsid w:val="00613BF9"/>
    <w:rsid w:val="00620385"/>
    <w:rsid w:val="0062233E"/>
    <w:rsid w:val="006234C0"/>
    <w:rsid w:val="00624690"/>
    <w:rsid w:val="0062739E"/>
    <w:rsid w:val="00631156"/>
    <w:rsid w:val="00631177"/>
    <w:rsid w:val="006324B9"/>
    <w:rsid w:val="00637582"/>
    <w:rsid w:val="00641D16"/>
    <w:rsid w:val="00643244"/>
    <w:rsid w:val="00650B75"/>
    <w:rsid w:val="0066285B"/>
    <w:rsid w:val="00664426"/>
    <w:rsid w:val="00665412"/>
    <w:rsid w:val="0066789F"/>
    <w:rsid w:val="00671E02"/>
    <w:rsid w:val="006841C0"/>
    <w:rsid w:val="006906C5"/>
    <w:rsid w:val="00697725"/>
    <w:rsid w:val="006A1F93"/>
    <w:rsid w:val="006A6CC4"/>
    <w:rsid w:val="006A76A9"/>
    <w:rsid w:val="006A7EB2"/>
    <w:rsid w:val="006B3628"/>
    <w:rsid w:val="006C129F"/>
    <w:rsid w:val="006C2A25"/>
    <w:rsid w:val="006C304F"/>
    <w:rsid w:val="006C6AE6"/>
    <w:rsid w:val="006D02E6"/>
    <w:rsid w:val="006E4D24"/>
    <w:rsid w:val="006E6F9C"/>
    <w:rsid w:val="006F4A87"/>
    <w:rsid w:val="006F5588"/>
    <w:rsid w:val="006F5E3C"/>
    <w:rsid w:val="007001F4"/>
    <w:rsid w:val="00700BB2"/>
    <w:rsid w:val="007025EF"/>
    <w:rsid w:val="007135D6"/>
    <w:rsid w:val="0071587A"/>
    <w:rsid w:val="00725556"/>
    <w:rsid w:val="0073022E"/>
    <w:rsid w:val="0073586E"/>
    <w:rsid w:val="00736D9A"/>
    <w:rsid w:val="00741351"/>
    <w:rsid w:val="00743605"/>
    <w:rsid w:val="00745BAF"/>
    <w:rsid w:val="007535EE"/>
    <w:rsid w:val="0076270C"/>
    <w:rsid w:val="00764AFC"/>
    <w:rsid w:val="007743AB"/>
    <w:rsid w:val="00777914"/>
    <w:rsid w:val="00783360"/>
    <w:rsid w:val="007A745A"/>
    <w:rsid w:val="007B0DEE"/>
    <w:rsid w:val="007B3EBC"/>
    <w:rsid w:val="007B53A1"/>
    <w:rsid w:val="007B674F"/>
    <w:rsid w:val="007C1A20"/>
    <w:rsid w:val="007C423C"/>
    <w:rsid w:val="007C741B"/>
    <w:rsid w:val="007D082F"/>
    <w:rsid w:val="007D0FA7"/>
    <w:rsid w:val="007D2076"/>
    <w:rsid w:val="007D25A2"/>
    <w:rsid w:val="007D6831"/>
    <w:rsid w:val="007E36CB"/>
    <w:rsid w:val="007E4A03"/>
    <w:rsid w:val="007E59FB"/>
    <w:rsid w:val="007E7B4B"/>
    <w:rsid w:val="007F08D3"/>
    <w:rsid w:val="007F18F8"/>
    <w:rsid w:val="007F2109"/>
    <w:rsid w:val="007F62E4"/>
    <w:rsid w:val="007F6F58"/>
    <w:rsid w:val="008053B8"/>
    <w:rsid w:val="00806A25"/>
    <w:rsid w:val="008169F2"/>
    <w:rsid w:val="00820A0F"/>
    <w:rsid w:val="00823F91"/>
    <w:rsid w:val="008278A4"/>
    <w:rsid w:val="008403FE"/>
    <w:rsid w:val="00841444"/>
    <w:rsid w:val="00841CC9"/>
    <w:rsid w:val="00846713"/>
    <w:rsid w:val="00846C7C"/>
    <w:rsid w:val="00847D65"/>
    <w:rsid w:val="0086221D"/>
    <w:rsid w:val="008638CD"/>
    <w:rsid w:val="0086510E"/>
    <w:rsid w:val="0087161B"/>
    <w:rsid w:val="008736B1"/>
    <w:rsid w:val="00877B9B"/>
    <w:rsid w:val="00881F31"/>
    <w:rsid w:val="00885C6F"/>
    <w:rsid w:val="00887A2F"/>
    <w:rsid w:val="00897ED8"/>
    <w:rsid w:val="008B036C"/>
    <w:rsid w:val="008B0D76"/>
    <w:rsid w:val="008B2C88"/>
    <w:rsid w:val="008B310D"/>
    <w:rsid w:val="008B55B0"/>
    <w:rsid w:val="008C3891"/>
    <w:rsid w:val="008C489D"/>
    <w:rsid w:val="008C50C1"/>
    <w:rsid w:val="008C58AA"/>
    <w:rsid w:val="008C5A2F"/>
    <w:rsid w:val="008C6F72"/>
    <w:rsid w:val="008D1D3B"/>
    <w:rsid w:val="008D54E0"/>
    <w:rsid w:val="008E01A4"/>
    <w:rsid w:val="008E3AC4"/>
    <w:rsid w:val="008F38CE"/>
    <w:rsid w:val="008F54CB"/>
    <w:rsid w:val="008F65CC"/>
    <w:rsid w:val="00900B41"/>
    <w:rsid w:val="00902819"/>
    <w:rsid w:val="00907515"/>
    <w:rsid w:val="00911C16"/>
    <w:rsid w:val="00913D0D"/>
    <w:rsid w:val="00920241"/>
    <w:rsid w:val="009213EA"/>
    <w:rsid w:val="00922601"/>
    <w:rsid w:val="00927129"/>
    <w:rsid w:val="009275B9"/>
    <w:rsid w:val="00932CC7"/>
    <w:rsid w:val="00941D13"/>
    <w:rsid w:val="009528F0"/>
    <w:rsid w:val="009635B9"/>
    <w:rsid w:val="00963840"/>
    <w:rsid w:val="009650B2"/>
    <w:rsid w:val="00970560"/>
    <w:rsid w:val="00970840"/>
    <w:rsid w:val="00972455"/>
    <w:rsid w:val="00972F64"/>
    <w:rsid w:val="00981D8F"/>
    <w:rsid w:val="00981FCE"/>
    <w:rsid w:val="0098570A"/>
    <w:rsid w:val="00991C25"/>
    <w:rsid w:val="00992367"/>
    <w:rsid w:val="009954C1"/>
    <w:rsid w:val="009A2712"/>
    <w:rsid w:val="009A3E38"/>
    <w:rsid w:val="009B019A"/>
    <w:rsid w:val="009B0305"/>
    <w:rsid w:val="009B0E4A"/>
    <w:rsid w:val="009B39FA"/>
    <w:rsid w:val="009B560D"/>
    <w:rsid w:val="009C0790"/>
    <w:rsid w:val="009C7DE3"/>
    <w:rsid w:val="009D183F"/>
    <w:rsid w:val="009D4094"/>
    <w:rsid w:val="009D6C41"/>
    <w:rsid w:val="009E26ED"/>
    <w:rsid w:val="009F1EC5"/>
    <w:rsid w:val="009F5FE2"/>
    <w:rsid w:val="009F70E3"/>
    <w:rsid w:val="00A0048E"/>
    <w:rsid w:val="00A076F5"/>
    <w:rsid w:val="00A1102E"/>
    <w:rsid w:val="00A11571"/>
    <w:rsid w:val="00A12397"/>
    <w:rsid w:val="00A26839"/>
    <w:rsid w:val="00A32C1A"/>
    <w:rsid w:val="00A36FD6"/>
    <w:rsid w:val="00A37A7C"/>
    <w:rsid w:val="00A45B0F"/>
    <w:rsid w:val="00A51F9A"/>
    <w:rsid w:val="00A56BE2"/>
    <w:rsid w:val="00A5750F"/>
    <w:rsid w:val="00A6198D"/>
    <w:rsid w:val="00A6411E"/>
    <w:rsid w:val="00A7588F"/>
    <w:rsid w:val="00A77C8D"/>
    <w:rsid w:val="00A87B10"/>
    <w:rsid w:val="00A92F04"/>
    <w:rsid w:val="00A9722E"/>
    <w:rsid w:val="00AB7616"/>
    <w:rsid w:val="00AB7FE1"/>
    <w:rsid w:val="00AC0220"/>
    <w:rsid w:val="00AC0AC5"/>
    <w:rsid w:val="00AC4080"/>
    <w:rsid w:val="00AD3772"/>
    <w:rsid w:val="00AD6864"/>
    <w:rsid w:val="00AE1F8D"/>
    <w:rsid w:val="00AE337F"/>
    <w:rsid w:val="00AE5C3C"/>
    <w:rsid w:val="00AE5C5F"/>
    <w:rsid w:val="00AE7377"/>
    <w:rsid w:val="00AF0630"/>
    <w:rsid w:val="00AF40C3"/>
    <w:rsid w:val="00AF5EDC"/>
    <w:rsid w:val="00AF7ED2"/>
    <w:rsid w:val="00B00C50"/>
    <w:rsid w:val="00B00CF7"/>
    <w:rsid w:val="00B1014A"/>
    <w:rsid w:val="00B11C8C"/>
    <w:rsid w:val="00B13A59"/>
    <w:rsid w:val="00B149C0"/>
    <w:rsid w:val="00B176D2"/>
    <w:rsid w:val="00B22C22"/>
    <w:rsid w:val="00B26D8E"/>
    <w:rsid w:val="00B31236"/>
    <w:rsid w:val="00B314C0"/>
    <w:rsid w:val="00B36307"/>
    <w:rsid w:val="00B36A40"/>
    <w:rsid w:val="00B3721B"/>
    <w:rsid w:val="00B3783E"/>
    <w:rsid w:val="00B40759"/>
    <w:rsid w:val="00B40CF1"/>
    <w:rsid w:val="00B4156C"/>
    <w:rsid w:val="00B42D53"/>
    <w:rsid w:val="00B53A5A"/>
    <w:rsid w:val="00B629FE"/>
    <w:rsid w:val="00B666AA"/>
    <w:rsid w:val="00B702D7"/>
    <w:rsid w:val="00B76223"/>
    <w:rsid w:val="00B80FD3"/>
    <w:rsid w:val="00B8696D"/>
    <w:rsid w:val="00B87AA3"/>
    <w:rsid w:val="00B906AA"/>
    <w:rsid w:val="00B923EE"/>
    <w:rsid w:val="00BA574D"/>
    <w:rsid w:val="00BB276F"/>
    <w:rsid w:val="00BB6075"/>
    <w:rsid w:val="00BC1C74"/>
    <w:rsid w:val="00BC252C"/>
    <w:rsid w:val="00BC4430"/>
    <w:rsid w:val="00BD1426"/>
    <w:rsid w:val="00BD7080"/>
    <w:rsid w:val="00BE0935"/>
    <w:rsid w:val="00BE0A26"/>
    <w:rsid w:val="00BE59B1"/>
    <w:rsid w:val="00BF3F23"/>
    <w:rsid w:val="00C02CBD"/>
    <w:rsid w:val="00C04437"/>
    <w:rsid w:val="00C06C58"/>
    <w:rsid w:val="00C131FB"/>
    <w:rsid w:val="00C14104"/>
    <w:rsid w:val="00C17240"/>
    <w:rsid w:val="00C211CB"/>
    <w:rsid w:val="00C22C69"/>
    <w:rsid w:val="00C23575"/>
    <w:rsid w:val="00C32D03"/>
    <w:rsid w:val="00C3559C"/>
    <w:rsid w:val="00C407FD"/>
    <w:rsid w:val="00C42E42"/>
    <w:rsid w:val="00C43A09"/>
    <w:rsid w:val="00C447DE"/>
    <w:rsid w:val="00C53951"/>
    <w:rsid w:val="00C55BB2"/>
    <w:rsid w:val="00C60C54"/>
    <w:rsid w:val="00C6226F"/>
    <w:rsid w:val="00C65A64"/>
    <w:rsid w:val="00C7285A"/>
    <w:rsid w:val="00C74DB8"/>
    <w:rsid w:val="00C840DD"/>
    <w:rsid w:val="00C86BBE"/>
    <w:rsid w:val="00C9418E"/>
    <w:rsid w:val="00C95197"/>
    <w:rsid w:val="00C960F0"/>
    <w:rsid w:val="00CA73FD"/>
    <w:rsid w:val="00CB5627"/>
    <w:rsid w:val="00CC22BD"/>
    <w:rsid w:val="00CD101C"/>
    <w:rsid w:val="00CD28F5"/>
    <w:rsid w:val="00CD558E"/>
    <w:rsid w:val="00CE07BF"/>
    <w:rsid w:val="00CE20A8"/>
    <w:rsid w:val="00CE42BF"/>
    <w:rsid w:val="00CE4907"/>
    <w:rsid w:val="00CE4F9F"/>
    <w:rsid w:val="00CE5686"/>
    <w:rsid w:val="00CE5ABF"/>
    <w:rsid w:val="00CE7974"/>
    <w:rsid w:val="00CF094A"/>
    <w:rsid w:val="00CF3F6E"/>
    <w:rsid w:val="00CF507A"/>
    <w:rsid w:val="00CF5754"/>
    <w:rsid w:val="00D0056F"/>
    <w:rsid w:val="00D024EE"/>
    <w:rsid w:val="00D0349A"/>
    <w:rsid w:val="00D057CA"/>
    <w:rsid w:val="00D07F3A"/>
    <w:rsid w:val="00D123FC"/>
    <w:rsid w:val="00D16C46"/>
    <w:rsid w:val="00D206FF"/>
    <w:rsid w:val="00D33ABC"/>
    <w:rsid w:val="00D41E39"/>
    <w:rsid w:val="00D505EE"/>
    <w:rsid w:val="00D621EC"/>
    <w:rsid w:val="00D67EA1"/>
    <w:rsid w:val="00D71211"/>
    <w:rsid w:val="00D7725A"/>
    <w:rsid w:val="00D7733C"/>
    <w:rsid w:val="00D83458"/>
    <w:rsid w:val="00D87511"/>
    <w:rsid w:val="00D90103"/>
    <w:rsid w:val="00D919B4"/>
    <w:rsid w:val="00D920E2"/>
    <w:rsid w:val="00D933DF"/>
    <w:rsid w:val="00DA7333"/>
    <w:rsid w:val="00DB38CC"/>
    <w:rsid w:val="00DB5F67"/>
    <w:rsid w:val="00DB6398"/>
    <w:rsid w:val="00DC7BF7"/>
    <w:rsid w:val="00DD1104"/>
    <w:rsid w:val="00DD313D"/>
    <w:rsid w:val="00DD644C"/>
    <w:rsid w:val="00DD7958"/>
    <w:rsid w:val="00DE22F6"/>
    <w:rsid w:val="00DE4EB7"/>
    <w:rsid w:val="00DF30F3"/>
    <w:rsid w:val="00DF46DF"/>
    <w:rsid w:val="00E00F75"/>
    <w:rsid w:val="00E13E2A"/>
    <w:rsid w:val="00E141EC"/>
    <w:rsid w:val="00E15642"/>
    <w:rsid w:val="00E227FB"/>
    <w:rsid w:val="00E262FE"/>
    <w:rsid w:val="00E32369"/>
    <w:rsid w:val="00E33FC0"/>
    <w:rsid w:val="00E34DD4"/>
    <w:rsid w:val="00E411C5"/>
    <w:rsid w:val="00E45141"/>
    <w:rsid w:val="00E552C8"/>
    <w:rsid w:val="00E56C55"/>
    <w:rsid w:val="00E6040A"/>
    <w:rsid w:val="00E636CE"/>
    <w:rsid w:val="00E63D72"/>
    <w:rsid w:val="00E65C95"/>
    <w:rsid w:val="00E7242B"/>
    <w:rsid w:val="00E73602"/>
    <w:rsid w:val="00E749F9"/>
    <w:rsid w:val="00E759BD"/>
    <w:rsid w:val="00E93524"/>
    <w:rsid w:val="00E93A06"/>
    <w:rsid w:val="00E9570F"/>
    <w:rsid w:val="00EA1D05"/>
    <w:rsid w:val="00EA34AD"/>
    <w:rsid w:val="00EA5115"/>
    <w:rsid w:val="00EB1178"/>
    <w:rsid w:val="00EB21E7"/>
    <w:rsid w:val="00EB2C62"/>
    <w:rsid w:val="00EC0BEC"/>
    <w:rsid w:val="00EC28B5"/>
    <w:rsid w:val="00EC2A89"/>
    <w:rsid w:val="00ED4290"/>
    <w:rsid w:val="00EE06D8"/>
    <w:rsid w:val="00EE0C39"/>
    <w:rsid w:val="00EE12E2"/>
    <w:rsid w:val="00EE6AC8"/>
    <w:rsid w:val="00EF01EF"/>
    <w:rsid w:val="00EF1A9E"/>
    <w:rsid w:val="00F01130"/>
    <w:rsid w:val="00F05205"/>
    <w:rsid w:val="00F07134"/>
    <w:rsid w:val="00F12D3F"/>
    <w:rsid w:val="00F13B79"/>
    <w:rsid w:val="00F145A3"/>
    <w:rsid w:val="00F14A14"/>
    <w:rsid w:val="00F15928"/>
    <w:rsid w:val="00F23B30"/>
    <w:rsid w:val="00F252F8"/>
    <w:rsid w:val="00F3251B"/>
    <w:rsid w:val="00F354F7"/>
    <w:rsid w:val="00F41C95"/>
    <w:rsid w:val="00F4225F"/>
    <w:rsid w:val="00F4252A"/>
    <w:rsid w:val="00F435EC"/>
    <w:rsid w:val="00F474A1"/>
    <w:rsid w:val="00F54EE7"/>
    <w:rsid w:val="00F55757"/>
    <w:rsid w:val="00F56653"/>
    <w:rsid w:val="00F613F9"/>
    <w:rsid w:val="00F65783"/>
    <w:rsid w:val="00F74261"/>
    <w:rsid w:val="00F74329"/>
    <w:rsid w:val="00F8001E"/>
    <w:rsid w:val="00F86431"/>
    <w:rsid w:val="00F907E4"/>
    <w:rsid w:val="00F9146C"/>
    <w:rsid w:val="00F92F46"/>
    <w:rsid w:val="00F9347E"/>
    <w:rsid w:val="00F93595"/>
    <w:rsid w:val="00F94CF4"/>
    <w:rsid w:val="00F95150"/>
    <w:rsid w:val="00F95EBC"/>
    <w:rsid w:val="00FA1F72"/>
    <w:rsid w:val="00FA2A3B"/>
    <w:rsid w:val="00FA3689"/>
    <w:rsid w:val="00FB410D"/>
    <w:rsid w:val="00FC1799"/>
    <w:rsid w:val="00FC3054"/>
    <w:rsid w:val="00FC69C0"/>
    <w:rsid w:val="00FC729B"/>
    <w:rsid w:val="00FD3137"/>
    <w:rsid w:val="00FD5D54"/>
    <w:rsid w:val="00FE1F9A"/>
    <w:rsid w:val="00FE5C5A"/>
    <w:rsid w:val="00FE7791"/>
    <w:rsid w:val="00FF27B8"/>
    <w:rsid w:val="00FF3167"/>
    <w:rsid w:val="00FF55C7"/>
    <w:rsid w:val="00FF687D"/>
    <w:rsid w:val="00FF6A7E"/>
    <w:rsid w:val="00FF77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F8042C"/>
  <w15:docId w15:val="{B00ED87D-D76D-4C8B-8443-30D3066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numPr>
        <w:numId w:val="20"/>
      </w:numPr>
      <w:outlineLvl w:val="1"/>
    </w:pPr>
    <w:rPr>
      <w:bCs/>
      <w:sz w:val="22"/>
      <w:u w:val="single"/>
    </w:rPr>
  </w:style>
  <w:style w:type="paragraph" w:styleId="Heading3">
    <w:name w:val="heading 3"/>
    <w:basedOn w:val="Normal"/>
    <w:next w:val="Normal"/>
    <w:qFormat/>
    <w:pPr>
      <w:keepNext/>
      <w:numPr>
        <w:numId w:val="7"/>
      </w:numPr>
      <w:outlineLvl w:val="2"/>
    </w:pPr>
    <w:rPr>
      <w:b/>
      <w:bCs/>
    </w:rPr>
  </w:style>
  <w:style w:type="paragraph" w:styleId="Heading4">
    <w:name w:val="heading 4"/>
    <w:basedOn w:val="Normal"/>
    <w:next w:val="Normal"/>
    <w:qFormat/>
    <w:pPr>
      <w:keepNext/>
      <w:numPr>
        <w:numId w:val="8"/>
      </w:numPr>
      <w:outlineLvl w:val="3"/>
    </w:pPr>
    <w:rPr>
      <w:b/>
      <w:bCs/>
    </w:rPr>
  </w:style>
  <w:style w:type="paragraph" w:styleId="Heading5">
    <w:name w:val="heading 5"/>
    <w:basedOn w:val="Normal"/>
    <w:next w:val="Normal"/>
    <w:qFormat/>
    <w:pPr>
      <w:keepNext/>
      <w:ind w:left="1584" w:hanging="1584"/>
      <w:outlineLvl w:val="4"/>
    </w:pPr>
    <w:rPr>
      <w:b/>
      <w:bCs/>
      <w:smallCaps/>
    </w:rPr>
  </w:style>
  <w:style w:type="paragraph" w:styleId="Heading6">
    <w:name w:val="heading 6"/>
    <w:basedOn w:val="Normal"/>
    <w:next w:val="Normal"/>
    <w:qFormat/>
    <w:pPr>
      <w:keepNext/>
      <w:numPr>
        <w:numId w:val="1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440"/>
    </w:p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szCs w:val="20"/>
    </w:rPr>
  </w:style>
  <w:style w:type="paragraph" w:styleId="Subtitle">
    <w:name w:val="Subtitle"/>
    <w:basedOn w:val="Normal"/>
    <w:qFormat/>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BlockText">
    <w:name w:val="Block Text"/>
    <w:basedOn w:val="Normal"/>
    <w:pPr>
      <w:ind w:left="1440" w:right="720"/>
    </w:pPr>
    <w:rPr>
      <w:color w:val="000000"/>
      <w:sz w:val="22"/>
      <w:szCs w:val="22"/>
    </w:rPr>
  </w:style>
  <w:style w:type="paragraph" w:styleId="BodyTextIndent2">
    <w:name w:val="Body Text Indent 2"/>
    <w:basedOn w:val="Normal"/>
    <w:pPr>
      <w:ind w:left="576"/>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D54E0"/>
    <w:pPr>
      <w:ind w:left="720"/>
    </w:pPr>
  </w:style>
  <w:style w:type="character" w:styleId="CommentReference">
    <w:name w:val="annotation reference"/>
    <w:rsid w:val="00137F7D"/>
    <w:rPr>
      <w:rFonts w:cs="Times New Roman"/>
      <w:sz w:val="16"/>
    </w:rPr>
  </w:style>
  <w:style w:type="character" w:styleId="Emphasis">
    <w:name w:val="Emphasis"/>
    <w:uiPriority w:val="20"/>
    <w:qFormat/>
    <w:rsid w:val="00FC1799"/>
    <w:rPr>
      <w:i/>
      <w:iCs/>
    </w:rPr>
  </w:style>
  <w:style w:type="paragraph" w:styleId="Quote">
    <w:name w:val="Quote"/>
    <w:basedOn w:val="Normal"/>
    <w:next w:val="Normal"/>
    <w:link w:val="QuoteChar"/>
    <w:uiPriority w:val="29"/>
    <w:qFormat/>
    <w:rsid w:val="00FC1799"/>
    <w:rPr>
      <w:i/>
      <w:iCs/>
      <w:color w:val="000000"/>
    </w:rPr>
  </w:style>
  <w:style w:type="character" w:customStyle="1" w:styleId="QuoteChar">
    <w:name w:val="Quote Char"/>
    <w:link w:val="Quote"/>
    <w:uiPriority w:val="29"/>
    <w:rsid w:val="00FC1799"/>
    <w:rPr>
      <w:i/>
      <w:iCs/>
      <w:color w:val="000000"/>
      <w:sz w:val="24"/>
      <w:szCs w:val="24"/>
    </w:rPr>
  </w:style>
  <w:style w:type="character" w:customStyle="1" w:styleId="FooterChar">
    <w:name w:val="Footer Char"/>
    <w:link w:val="Footer"/>
    <w:uiPriority w:val="99"/>
    <w:rsid w:val="002A2FF5"/>
    <w:rPr>
      <w:sz w:val="24"/>
      <w:szCs w:val="24"/>
    </w:rPr>
  </w:style>
  <w:style w:type="paragraph" w:styleId="NormalWeb">
    <w:name w:val="Normal (Web)"/>
    <w:basedOn w:val="Normal"/>
    <w:uiPriority w:val="99"/>
    <w:unhideWhenUsed/>
    <w:rsid w:val="00EA34AD"/>
    <w:pPr>
      <w:spacing w:before="100" w:beforeAutospacing="1" w:after="100" w:afterAutospacing="1"/>
    </w:pPr>
  </w:style>
  <w:style w:type="paragraph" w:styleId="NoSpacing">
    <w:name w:val="No Spacing"/>
    <w:uiPriority w:val="1"/>
    <w:qFormat/>
    <w:rsid w:val="009D6C41"/>
    <w:rPr>
      <w:rFonts w:ascii="Calibri" w:eastAsia="Calibri" w:hAnsi="Calibri" w:cs="Arial"/>
      <w:sz w:val="22"/>
      <w:szCs w:val="22"/>
      <w:lang w:val="es-ES"/>
    </w:rPr>
  </w:style>
  <w:style w:type="paragraph" w:styleId="CommentText">
    <w:name w:val="annotation text"/>
    <w:basedOn w:val="Normal"/>
    <w:link w:val="CommentTextChar"/>
    <w:semiHidden/>
    <w:unhideWhenUsed/>
    <w:rsid w:val="00FE5C5A"/>
    <w:rPr>
      <w:sz w:val="20"/>
      <w:szCs w:val="20"/>
    </w:rPr>
  </w:style>
  <w:style w:type="character" w:customStyle="1" w:styleId="CommentTextChar">
    <w:name w:val="Comment Text Char"/>
    <w:basedOn w:val="DefaultParagraphFont"/>
    <w:link w:val="CommentText"/>
    <w:semiHidden/>
    <w:rsid w:val="00FE5C5A"/>
  </w:style>
  <w:style w:type="paragraph" w:styleId="CommentSubject">
    <w:name w:val="annotation subject"/>
    <w:basedOn w:val="CommentText"/>
    <w:next w:val="CommentText"/>
    <w:link w:val="CommentSubjectChar"/>
    <w:semiHidden/>
    <w:unhideWhenUsed/>
    <w:rsid w:val="00FE5C5A"/>
    <w:rPr>
      <w:b/>
      <w:bCs/>
    </w:rPr>
  </w:style>
  <w:style w:type="character" w:customStyle="1" w:styleId="CommentSubjectChar">
    <w:name w:val="Comment Subject Char"/>
    <w:link w:val="CommentSubject"/>
    <w:semiHidden/>
    <w:rsid w:val="00FE5C5A"/>
    <w:rPr>
      <w:b/>
      <w:bCs/>
    </w:rPr>
  </w:style>
  <w:style w:type="character" w:styleId="Hyperlink">
    <w:name w:val="Hyperlink"/>
    <w:uiPriority w:val="99"/>
    <w:semiHidden/>
    <w:unhideWhenUsed/>
    <w:rsid w:val="00806A25"/>
    <w:rPr>
      <w:color w:val="0000FF"/>
      <w:u w:val="single"/>
    </w:rPr>
  </w:style>
  <w:style w:type="paragraph" w:styleId="Revision">
    <w:name w:val="Revision"/>
    <w:hidden/>
    <w:uiPriority w:val="99"/>
    <w:semiHidden/>
    <w:rsid w:val="00035806"/>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5690">
      <w:bodyDiv w:val="1"/>
      <w:marLeft w:val="0"/>
      <w:marRight w:val="0"/>
      <w:marTop w:val="0"/>
      <w:marBottom w:val="0"/>
      <w:divBdr>
        <w:top w:val="none" w:sz="0" w:space="0" w:color="auto"/>
        <w:left w:val="none" w:sz="0" w:space="0" w:color="auto"/>
        <w:bottom w:val="none" w:sz="0" w:space="0" w:color="auto"/>
        <w:right w:val="none" w:sz="0" w:space="0" w:color="auto"/>
      </w:divBdr>
    </w:div>
    <w:div w:id="6987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coast.org/financial-assistance/."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5064</Words>
  <Characters>26177</Characters>
  <Application>Microsoft Office Word</Application>
  <DocSecurity>4</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31179</CharactersWithSpaces>
  <SharedDoc>false</SharedDoc>
  <HLinks>
    <vt:vector size="6" baseType="variant">
      <vt:variant>
        <vt:i4>131075</vt:i4>
      </vt:variant>
      <vt:variant>
        <vt:i4>0</vt:i4>
      </vt:variant>
      <vt:variant>
        <vt:i4>0</vt:i4>
      </vt:variant>
      <vt:variant>
        <vt:i4>5</vt:i4>
      </vt:variant>
      <vt:variant>
        <vt:lpwstr>https://www.southcoast.org/financial-assistance/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Da Costa</dc:creator>
  <cp:lastModifiedBy>Maria Da Costa</cp:lastModifiedBy>
  <cp:revision>2</cp:revision>
  <dcterms:created xsi:type="dcterms:W3CDTF">2022-05-13T19:27:00Z</dcterms:created>
  <dcterms:modified xsi:type="dcterms:W3CDTF">2022-05-13T19:27:00Z</dcterms:modified>
</cp:coreProperties>
</file>